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C8" w:rsidRDefault="00F6755E">
      <w:pPr>
        <w:spacing w:before="240" w:after="0" w:line="276" w:lineRule="auto"/>
        <w:jc w:val="center"/>
        <w:rPr>
          <w:rFonts w:ascii="Cambria" w:eastAsia="Cambria" w:hAnsi="Cambria" w:cs="Cambria"/>
          <w:b/>
        </w:rPr>
      </w:pPr>
      <w:r>
        <w:rPr>
          <w:rFonts w:ascii="Cambria" w:eastAsia="Cambria" w:hAnsi="Cambria" w:cs="Cambria"/>
          <w:b/>
        </w:rPr>
        <w:t xml:space="preserve">SECRETARÍA DE EDUCACIÓN </w:t>
      </w:r>
    </w:p>
    <w:p w:rsidR="003532C8" w:rsidRDefault="00F6755E">
      <w:pPr>
        <w:spacing w:before="240" w:after="0"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3532C8" w:rsidRDefault="00F6755E">
      <w:pPr>
        <w:spacing w:before="240" w:after="0" w:line="276" w:lineRule="auto"/>
        <w:jc w:val="center"/>
        <w:rPr>
          <w:rFonts w:ascii="Cambria" w:eastAsia="Cambria" w:hAnsi="Cambria" w:cs="Cambria"/>
        </w:rPr>
      </w:pPr>
      <w:r>
        <w:rPr>
          <w:rFonts w:ascii="Cambria" w:eastAsia="Cambria" w:hAnsi="Cambria" w:cs="Cambria"/>
          <w:b/>
        </w:rPr>
        <w:t>(USINIEH)</w:t>
      </w:r>
    </w:p>
    <w:p w:rsidR="003532C8" w:rsidRDefault="00F6755E">
      <w:pPr>
        <w:pBdr>
          <w:bottom w:val="single" w:sz="12" w:space="1" w:color="000000"/>
        </w:pBdr>
        <w:spacing w:before="240" w:after="0" w:line="276" w:lineRule="auto"/>
        <w:jc w:val="center"/>
        <w:rPr>
          <w:rFonts w:ascii="Cambria" w:eastAsia="Cambria" w:hAnsi="Cambria" w:cs="Cambria"/>
          <w:b/>
          <w:i/>
        </w:rPr>
      </w:pPr>
      <w:r>
        <w:rPr>
          <w:rFonts w:ascii="Cambria" w:eastAsia="Cambria" w:hAnsi="Cambria" w:cs="Cambria"/>
          <w:b/>
          <w:i/>
        </w:rPr>
        <w:t>Términos de Referencia</w:t>
      </w:r>
    </w:p>
    <w:p w:rsidR="00F839F0" w:rsidRDefault="00F6755E">
      <w:pPr>
        <w:spacing w:before="240" w:after="0" w:line="276" w:lineRule="auto"/>
        <w:jc w:val="center"/>
        <w:rPr>
          <w:rFonts w:ascii="Cambria" w:eastAsia="Cambria" w:hAnsi="Cambria" w:cs="Cambria"/>
        </w:rPr>
      </w:pPr>
      <w:r>
        <w:rPr>
          <w:rFonts w:ascii="Cambria" w:eastAsia="Cambria" w:hAnsi="Cambria" w:cs="Cambria"/>
          <w:b/>
          <w:i/>
        </w:rPr>
        <w:t xml:space="preserve">Consultoría: </w:t>
      </w:r>
      <w:r w:rsidR="00D65315">
        <w:rPr>
          <w:rFonts w:ascii="Cambria" w:eastAsia="Cambria" w:hAnsi="Cambria" w:cs="Cambria"/>
          <w:b/>
          <w:i/>
        </w:rPr>
        <w:t xml:space="preserve">Asistente de Dirección </w:t>
      </w:r>
      <w:r w:rsidR="00F839F0" w:rsidRPr="00F839F0">
        <w:rPr>
          <w:rFonts w:ascii="Cambria" w:eastAsia="Cambria" w:hAnsi="Cambria" w:cs="Cambria"/>
          <w:b/>
          <w:i/>
        </w:rPr>
        <w:t>La Unidad de Planeamiento y Evaluación de la Gestión</w:t>
      </w:r>
      <w:r w:rsidR="00F839F0">
        <w:rPr>
          <w:rFonts w:ascii="Cambria" w:eastAsia="Cambria" w:hAnsi="Cambria" w:cs="Cambria"/>
          <w:b/>
          <w:i/>
        </w:rPr>
        <w:t xml:space="preserve"> UPEG</w:t>
      </w:r>
      <w:bookmarkStart w:id="0" w:name="_GoBack"/>
      <w:bookmarkEnd w:id="0"/>
    </w:p>
    <w:p w:rsidR="003532C8" w:rsidRDefault="00F6755E">
      <w:pPr>
        <w:numPr>
          <w:ilvl w:val="0"/>
          <w:numId w:val="1"/>
        </w:numPr>
        <w:spacing w:after="0" w:line="276" w:lineRule="auto"/>
        <w:ind w:left="720"/>
        <w:contextualSpacing/>
        <w:jc w:val="both"/>
        <w:rPr>
          <w:rFonts w:ascii="Cambria" w:eastAsia="Cambria" w:hAnsi="Cambria" w:cs="Cambria"/>
        </w:rPr>
      </w:pPr>
      <w:r>
        <w:rPr>
          <w:rFonts w:ascii="Cambria" w:eastAsia="Cambria" w:hAnsi="Cambria" w:cs="Cambria"/>
          <w:b/>
        </w:rPr>
        <w:t>ANTECEDENTES</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La Unidad de Planeamiento y Evaluación de la Gestión, tiene su origen en la “Oficina de Planeamiento Integral de la Educación” establecida en la derogada Ley Orgánica de Educación de los años 60 del Siglo pasado.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La Ley de Modernización del Estado, establece una estructura básica de todas las Secretarías de Estado y manda que en cada una de ellas se incorpore una “Unidad de Planeamiento y Evaluación de la Gestión”, como parte de la estructura organizacional.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La Ley Fundamental de la Educación vigente y sus Reglamentos, ratifica la existencia de la Unidad de Planeamiento y Evaluación de la Gestión (UPEG) de la Secretaría de Educación, cuyas funciones principales aparecen en el Reglamento de la Ley en el Art. 19, capítulo IV,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Entre las asignaciones de mayor importancia de la UPEG se encuentran:</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1.-Revisar los proyectos de cooperación externa en ejecución, a fin de actualizarlos y ajustarlos a la Ley Fundamental de Educación y los reglamentos pertinentes y proponerlo al Nivel de Dirección Superior para su aprobación;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2.-Coordinar con la Dirección General de Cooperación Externa de la Secretaría de Estado en el Despacho de Relaciones Exteriores y Cooperación Externa, todas las necesidades de cooperación externa de la Secretaría de Estado en el Despacho de Educación; y,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3.-Coordinar con los otros sectores nacionales del sector social y con las Organizaciones no Gubernamentales (</w:t>
      </w:r>
      <w:proofErr w:type="spellStart"/>
      <w:r w:rsidRPr="00577A71">
        <w:rPr>
          <w:rFonts w:asciiTheme="majorHAnsi" w:hAnsiTheme="majorHAnsi"/>
        </w:rPr>
        <w:t>ONGs</w:t>
      </w:r>
      <w:proofErr w:type="spellEnd"/>
      <w:r w:rsidRPr="00577A71">
        <w:rPr>
          <w:rFonts w:asciiTheme="majorHAnsi" w:hAnsiTheme="majorHAnsi"/>
        </w:rPr>
        <w:t xml:space="preserve">) la optimización en el uso de los recursos destinados al sector educativo.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Principalmente a la UPEG le corresponde proponer a la Dirección Superior de la Secretaría de Educación, el proceso de Planificación Estratégica y Presupuestaria orientada a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Resultados, así como coordinar la elaboración de los anteproyectos de Plan Operativo (POA) y Presupuesto a partir de los POA de los centros educativos. </w:t>
      </w:r>
    </w:p>
    <w:p w:rsidR="009C26D4" w:rsidRPr="00577A71" w:rsidRDefault="009C26D4" w:rsidP="009C26D4">
      <w:pPr>
        <w:pStyle w:val="Sinespaciado"/>
        <w:ind w:left="643"/>
        <w:jc w:val="both"/>
        <w:rPr>
          <w:rFonts w:asciiTheme="majorHAnsi" w:hAnsiTheme="majorHAnsi"/>
        </w:rPr>
      </w:pP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Estos resultados deben tener impacto positivo en la sociedad hondureña, es decir, niños y niñas, jóvenes y adultos, por ello deben ser de dominio público para que cualquier ciudadano hondureño pueda saber, sin lugar a dudas, cuál es el valor público que esta Secretaría está generando, cuál es la inversión que se hace y cómo se están desarrollando las diferentes acciones </w:t>
      </w:r>
      <w:r w:rsidRPr="00577A71">
        <w:rPr>
          <w:rFonts w:asciiTheme="majorHAnsi" w:hAnsiTheme="majorHAnsi"/>
        </w:rPr>
        <w:lastRenderedPageBreak/>
        <w:t xml:space="preserve">que se han planificado. En síntesis, hacer de la planificación un proceso transparente al servicio de la educación hondureña. </w:t>
      </w:r>
    </w:p>
    <w:p w:rsidR="009C26D4" w:rsidRPr="00577A71" w:rsidRDefault="009C26D4" w:rsidP="009C26D4">
      <w:pPr>
        <w:pStyle w:val="Sinespaciado"/>
        <w:ind w:left="643"/>
        <w:jc w:val="both"/>
        <w:rPr>
          <w:rFonts w:asciiTheme="majorHAnsi" w:hAnsiTheme="majorHAnsi"/>
        </w:rPr>
      </w:pP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Una educación planificada genera desarrollo, bienestar y una sociedad exitosa-La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según Decreto Ejecutivo N° PCM-032-2013, Artículo 2, tiene bajo su responsabilidad la administración e integración de los sistemas informáticos de la Secretaría de Estado en el Despacho de Educación, el desarrollo, adquisición y suministro de equipo y aplicaciones computacionales a los centros educativos, direcciones municipales y distritales, direcciones departamentales y al nivel central.</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3532C8" w:rsidRDefault="003532C8" w:rsidP="009C26D4">
      <w:pPr>
        <w:spacing w:after="0" w:line="276" w:lineRule="auto"/>
        <w:ind w:left="1440"/>
        <w:jc w:val="both"/>
        <w:rPr>
          <w:rFonts w:ascii="Cambria" w:eastAsia="Cambria" w:hAnsi="Cambria" w:cs="Cambria"/>
          <w:b/>
        </w:rPr>
      </w:pPr>
    </w:p>
    <w:p w:rsidR="003532C8" w:rsidRPr="009C26D4" w:rsidRDefault="00F6755E" w:rsidP="009C26D4">
      <w:pPr>
        <w:numPr>
          <w:ilvl w:val="0"/>
          <w:numId w:val="1"/>
        </w:numPr>
        <w:spacing w:after="0" w:line="276" w:lineRule="auto"/>
        <w:ind w:left="1440"/>
        <w:contextualSpacing/>
        <w:jc w:val="both"/>
        <w:rPr>
          <w:rFonts w:ascii="Cambria" w:eastAsia="Cambria" w:hAnsi="Cambria" w:cs="Cambria"/>
        </w:rPr>
      </w:pPr>
      <w:r>
        <w:rPr>
          <w:rFonts w:ascii="Cambria" w:eastAsia="Cambria" w:hAnsi="Cambria" w:cs="Cambria"/>
          <w:b/>
        </w:rPr>
        <w:t xml:space="preserve">OBJETIVO DE LA CONSULTORÍA </w:t>
      </w:r>
    </w:p>
    <w:p w:rsidR="009C26D4" w:rsidRDefault="009C26D4" w:rsidP="009C26D4">
      <w:pPr>
        <w:spacing w:after="0" w:line="276" w:lineRule="auto"/>
        <w:ind w:left="1440"/>
        <w:contextualSpacing/>
        <w:jc w:val="both"/>
        <w:rPr>
          <w:rFonts w:ascii="Cambria" w:eastAsia="Cambria" w:hAnsi="Cambria" w:cs="Cambria"/>
        </w:rPr>
      </w:pPr>
    </w:p>
    <w:p w:rsidR="009C26D4" w:rsidRPr="009C26D4" w:rsidRDefault="009C26D4" w:rsidP="009C26D4">
      <w:pPr>
        <w:pStyle w:val="Sinespaciado"/>
        <w:spacing w:line="276" w:lineRule="auto"/>
        <w:ind w:left="643"/>
        <w:jc w:val="both"/>
        <w:rPr>
          <w:rFonts w:asciiTheme="majorHAnsi" w:hAnsiTheme="majorHAnsi"/>
        </w:rPr>
      </w:pPr>
      <w:r w:rsidRPr="005C44FD">
        <w:rPr>
          <w:rFonts w:asciiTheme="majorHAnsi" w:hAnsiTheme="majorHAnsi"/>
        </w:rPr>
        <w:t>Realizar un análisis </w:t>
      </w:r>
      <w:r w:rsidRPr="009C26D4">
        <w:rPr>
          <w:rFonts w:asciiTheme="majorHAnsi" w:hAnsiTheme="majorHAnsi"/>
        </w:rPr>
        <w:t>en base a las actividades ejecutadas</w:t>
      </w:r>
      <w:r w:rsidRPr="005C44FD">
        <w:rPr>
          <w:rFonts w:asciiTheme="majorHAnsi" w:hAnsiTheme="majorHAnsi"/>
        </w:rPr>
        <w:t xml:space="preserve"> por los encargados de las unidades involucradas</w:t>
      </w:r>
      <w:r w:rsidR="00D65315">
        <w:rPr>
          <w:rFonts w:asciiTheme="majorHAnsi" w:hAnsiTheme="majorHAnsi"/>
        </w:rPr>
        <w:t xml:space="preserve"> en el Sistema Nacional de Información Educativa de Honduras USINIEH en conjunto con la Unidad de Planeamiento y Evaluación de la Gestión</w:t>
      </w:r>
      <w:r w:rsidRPr="005C44FD">
        <w:rPr>
          <w:rFonts w:asciiTheme="majorHAnsi" w:hAnsiTheme="majorHAnsi"/>
        </w:rPr>
        <w:t xml:space="preserve"> e UPEG, realizando tareas de atención telefónica, atención al público, gestión, organización, coordinación y planificación de tareas de administración y soporte.</w:t>
      </w:r>
    </w:p>
    <w:p w:rsidR="003532C8" w:rsidRDefault="003532C8" w:rsidP="009C26D4">
      <w:pPr>
        <w:spacing w:before="240" w:after="0" w:line="276" w:lineRule="auto"/>
        <w:ind w:left="797"/>
        <w:jc w:val="both"/>
        <w:rPr>
          <w:rFonts w:ascii="Cambria" w:eastAsia="Cambria" w:hAnsi="Cambria" w:cs="Cambria"/>
        </w:rPr>
      </w:pPr>
    </w:p>
    <w:p w:rsidR="003532C8" w:rsidRDefault="00F6755E" w:rsidP="009C26D4">
      <w:pPr>
        <w:numPr>
          <w:ilvl w:val="0"/>
          <w:numId w:val="1"/>
        </w:numPr>
        <w:spacing w:after="0" w:line="276" w:lineRule="auto"/>
        <w:ind w:left="1440"/>
        <w:contextualSpacing/>
        <w:jc w:val="both"/>
        <w:rPr>
          <w:rFonts w:ascii="Cambria" w:eastAsia="Cambria" w:hAnsi="Cambria" w:cs="Cambria"/>
        </w:rPr>
      </w:pPr>
      <w:r>
        <w:rPr>
          <w:rFonts w:ascii="Cambria" w:eastAsia="Cambria" w:hAnsi="Cambria" w:cs="Cambria"/>
          <w:b/>
        </w:rPr>
        <w:t>ACTIVIDADES Y RESPONSABILIDADES</w:t>
      </w:r>
    </w:p>
    <w:p w:rsidR="003532C8" w:rsidRDefault="00F6755E" w:rsidP="009C26D4">
      <w:pPr>
        <w:spacing w:before="240" w:after="0" w:line="276" w:lineRule="auto"/>
        <w:ind w:left="797"/>
        <w:jc w:val="both"/>
        <w:rPr>
          <w:rFonts w:ascii="Cambria" w:eastAsia="Cambria" w:hAnsi="Cambria" w:cs="Cambria"/>
        </w:rPr>
      </w:pPr>
      <w:r>
        <w:rPr>
          <w:rFonts w:ascii="Cambria" w:eastAsia="Cambria" w:hAnsi="Cambria" w:cs="Cambria"/>
        </w:rPr>
        <w:t>El (La) consultor(a) será responsable de cumplir con las siguientes actividades:</w:t>
      </w:r>
    </w:p>
    <w:p w:rsidR="009C26D4" w:rsidRPr="009C26D4" w:rsidRDefault="009C26D4" w:rsidP="009C26D4">
      <w:pPr>
        <w:spacing w:before="240" w:after="0" w:line="276" w:lineRule="auto"/>
        <w:ind w:left="797"/>
        <w:jc w:val="both"/>
        <w:rPr>
          <w:rFonts w:ascii="Cambria" w:eastAsia="Cambria" w:hAnsi="Cambria" w:cs="Cambria"/>
          <w:sz w:val="12"/>
        </w:rPr>
      </w:pPr>
    </w:p>
    <w:p w:rsidR="009C26D4"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t>Administración de sistemas de información y archivos.</w:t>
      </w:r>
    </w:p>
    <w:p w:rsidR="009C26D4"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t>Organización y gestión de agendas y comunicaciones de la dirección, coordinando las diferentes actividades programadas.</w:t>
      </w:r>
    </w:p>
    <w:p w:rsidR="009C26D4"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lastRenderedPageBreak/>
        <w:t>Gestión y organización de eventos, reuniones y otros actos corporativos.</w:t>
      </w:r>
    </w:p>
    <w:p w:rsidR="009C26D4"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t>Gestión y control de documentación confidencial.</w:t>
      </w:r>
    </w:p>
    <w:p w:rsidR="009C26D4"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t>Elaboración y presentación de documentos (presentaciones, informes, reportes, propuestas).</w:t>
      </w:r>
    </w:p>
    <w:p w:rsidR="009C26D4"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t>Detección de necesidades y anticipación de soluciones a partir del análisis de la información disponible y del entorno.</w:t>
      </w:r>
    </w:p>
    <w:p w:rsidR="000A6EAF" w:rsidRPr="009C26D4" w:rsidRDefault="009C26D4" w:rsidP="009C26D4">
      <w:pPr>
        <w:pStyle w:val="Prrafodelista"/>
        <w:numPr>
          <w:ilvl w:val="0"/>
          <w:numId w:val="5"/>
        </w:numPr>
        <w:spacing w:line="360" w:lineRule="auto"/>
        <w:rPr>
          <w:rFonts w:ascii="Cambria" w:eastAsia="Cambria" w:hAnsi="Cambria" w:cs="Cambria"/>
          <w:color w:val="000000"/>
        </w:rPr>
      </w:pPr>
      <w:r w:rsidRPr="009C26D4">
        <w:rPr>
          <w:rFonts w:ascii="Cambria" w:eastAsia="Cambria" w:hAnsi="Cambria" w:cs="Cambria"/>
          <w:color w:val="000000"/>
        </w:rPr>
        <w:t>Clasificación, registro y archivo de comunicaciones y documentos</w:t>
      </w:r>
    </w:p>
    <w:p w:rsidR="003532C8" w:rsidRDefault="003532C8" w:rsidP="000A6EAF">
      <w:pPr>
        <w:pBdr>
          <w:top w:val="nil"/>
          <w:left w:val="nil"/>
          <w:bottom w:val="nil"/>
          <w:right w:val="nil"/>
          <w:between w:val="nil"/>
        </w:pBdr>
        <w:spacing w:line="276" w:lineRule="auto"/>
        <w:ind w:left="720"/>
        <w:contextualSpacing/>
        <w:jc w:val="both"/>
        <w:rPr>
          <w:rFonts w:ascii="Cambria" w:eastAsia="Cambria" w:hAnsi="Cambria" w:cs="Cambria"/>
          <w:color w:val="000000"/>
        </w:rPr>
      </w:pPr>
    </w:p>
    <w:p w:rsidR="003532C8" w:rsidRDefault="00F6755E">
      <w:pPr>
        <w:numPr>
          <w:ilvl w:val="0"/>
          <w:numId w:val="1"/>
        </w:numPr>
        <w:spacing w:before="240" w:after="0" w:line="276" w:lineRule="auto"/>
        <w:contextualSpacing/>
        <w:jc w:val="both"/>
        <w:rPr>
          <w:rFonts w:ascii="Cambria" w:eastAsia="Cambria" w:hAnsi="Cambria" w:cs="Cambria"/>
        </w:rPr>
      </w:pPr>
      <w:r>
        <w:rPr>
          <w:rFonts w:ascii="Cambria" w:eastAsia="Cambria" w:hAnsi="Cambria" w:cs="Cambria"/>
          <w:b/>
        </w:rPr>
        <w:t>PRODUCTOS ESPERADOS</w:t>
      </w:r>
    </w:p>
    <w:p w:rsidR="009C26D4" w:rsidRDefault="00F6755E" w:rsidP="009C26D4">
      <w:pPr>
        <w:numPr>
          <w:ilvl w:val="1"/>
          <w:numId w:val="1"/>
        </w:numPr>
        <w:spacing w:after="0" w:line="276" w:lineRule="auto"/>
        <w:contextualSpacing/>
        <w:jc w:val="both"/>
        <w:rPr>
          <w:rFonts w:ascii="Cambria" w:eastAsia="Cambria" w:hAnsi="Cambria" w:cs="Cambria"/>
        </w:rPr>
      </w:pPr>
      <w:r>
        <w:rPr>
          <w:rFonts w:ascii="Cambria" w:eastAsia="Cambria" w:hAnsi="Cambria" w:cs="Cambria"/>
        </w:rPr>
        <w:t>Producto 1</w:t>
      </w:r>
      <w:r w:rsidR="009C26D4">
        <w:rPr>
          <w:rFonts w:ascii="Cambria" w:eastAsia="Cambria" w:hAnsi="Cambria" w:cs="Cambria"/>
        </w:rPr>
        <w:t xml:space="preserve">-3 </w:t>
      </w:r>
      <w:r>
        <w:rPr>
          <w:rFonts w:ascii="Cambria" w:eastAsia="Cambria" w:hAnsi="Cambria" w:cs="Cambria"/>
        </w:rPr>
        <w:t xml:space="preserve">: </w:t>
      </w:r>
    </w:p>
    <w:p w:rsidR="009C26D4" w:rsidRPr="009C26D4" w:rsidRDefault="009C26D4" w:rsidP="009C26D4">
      <w:pPr>
        <w:spacing w:after="0" w:line="276" w:lineRule="auto"/>
        <w:ind w:left="1440"/>
        <w:contextualSpacing/>
        <w:jc w:val="both"/>
        <w:rPr>
          <w:rFonts w:ascii="Cambria" w:eastAsia="Cambria" w:hAnsi="Cambria" w:cs="Cambria"/>
        </w:rPr>
      </w:pPr>
      <w:r w:rsidRPr="009C26D4">
        <w:rPr>
          <w:rFonts w:ascii="Cambria" w:eastAsia="Cambria" w:hAnsi="Cambria" w:cs="Cambria"/>
        </w:rPr>
        <w:t>a) Elaboración de Informe de la recepción, análisis y supervisión de la documentación recibida</w:t>
      </w:r>
    </w:p>
    <w:p w:rsidR="009C26D4" w:rsidRPr="009C26D4" w:rsidRDefault="009C26D4" w:rsidP="009C26D4">
      <w:pPr>
        <w:spacing w:after="0" w:line="276" w:lineRule="auto"/>
        <w:ind w:left="1440"/>
        <w:contextualSpacing/>
        <w:jc w:val="both"/>
        <w:rPr>
          <w:rFonts w:ascii="Cambria" w:eastAsia="Cambria" w:hAnsi="Cambria" w:cs="Cambria"/>
        </w:rPr>
      </w:pPr>
      <w:r w:rsidRPr="009C26D4">
        <w:rPr>
          <w:rFonts w:ascii="Cambria" w:eastAsia="Cambria" w:hAnsi="Cambria" w:cs="Cambria"/>
        </w:rPr>
        <w:t>c) Informe de las actividades de los procesos por unidad ejecutora</w:t>
      </w:r>
    </w:p>
    <w:p w:rsidR="003532C8" w:rsidRDefault="009C26D4" w:rsidP="009C26D4">
      <w:pPr>
        <w:spacing w:after="0" w:line="276" w:lineRule="auto"/>
        <w:ind w:left="1440"/>
        <w:contextualSpacing/>
        <w:jc w:val="both"/>
        <w:rPr>
          <w:rFonts w:ascii="Cambria" w:eastAsia="Cambria" w:hAnsi="Cambria" w:cs="Cambria"/>
        </w:rPr>
      </w:pPr>
      <w:r w:rsidRPr="009C26D4">
        <w:rPr>
          <w:rFonts w:ascii="Cambria" w:eastAsia="Cambria" w:hAnsi="Cambria" w:cs="Cambria"/>
        </w:rPr>
        <w:t>g) Informe de Gestión de los procesos de la Unidad</w:t>
      </w:r>
    </w:p>
    <w:p w:rsidR="009C26D4" w:rsidRDefault="009C26D4" w:rsidP="009C26D4">
      <w:pPr>
        <w:spacing w:after="0" w:line="276" w:lineRule="auto"/>
        <w:ind w:left="1440"/>
        <w:contextualSpacing/>
        <w:jc w:val="both"/>
        <w:rPr>
          <w:rFonts w:ascii="Cambria" w:eastAsia="Cambria" w:hAnsi="Cambria" w:cs="Cambria"/>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SUPERVISIÓN Y REVISIÓN DE LOS PRODUCTOS</w:t>
      </w:r>
    </w:p>
    <w:p w:rsidR="003532C8" w:rsidRDefault="00F6755E">
      <w:pPr>
        <w:spacing w:before="240" w:after="0" w:line="276" w:lineRule="auto"/>
        <w:jc w:val="both"/>
        <w:rPr>
          <w:rFonts w:ascii="Cambria" w:eastAsia="Cambria" w:hAnsi="Cambria" w:cs="Cambria"/>
        </w:rPr>
      </w:pPr>
      <w:r>
        <w:rPr>
          <w:rFonts w:ascii="Cambria" w:eastAsia="Cambria" w:hAnsi="Cambria" w:cs="Cambria"/>
        </w:rPr>
        <w:t xml:space="preserve">El (La) consultor(a) dependerá de la Coordinación General  de USINIEH y la Coordinación </w:t>
      </w:r>
      <w:r w:rsidR="0023582F">
        <w:rPr>
          <w:rFonts w:ascii="Cambria" w:eastAsia="Cambria" w:hAnsi="Cambria" w:cs="Cambria"/>
        </w:rPr>
        <w:t>de UPEG</w:t>
      </w:r>
      <w:r>
        <w:rPr>
          <w:rFonts w:ascii="Cambria" w:eastAsia="Cambria" w:hAnsi="Cambria" w:cs="Cambria"/>
        </w:rPr>
        <w:t>, quienes a su vez realizarán la correspondiente revisión y aprobación de los productos entregados.</w:t>
      </w:r>
    </w:p>
    <w:p w:rsidR="003532C8" w:rsidRDefault="003532C8">
      <w:pPr>
        <w:rPr>
          <w:rFonts w:ascii="Cambria" w:eastAsia="Cambria" w:hAnsi="Cambria" w:cs="Cambria"/>
        </w:rPr>
      </w:pPr>
    </w:p>
    <w:p w:rsidR="003532C8" w:rsidRDefault="00F6755E">
      <w:pPr>
        <w:numPr>
          <w:ilvl w:val="0"/>
          <w:numId w:val="1"/>
        </w:numPr>
        <w:pBdr>
          <w:top w:val="nil"/>
          <w:left w:val="nil"/>
          <w:bottom w:val="nil"/>
          <w:right w:val="nil"/>
          <w:between w:val="nil"/>
        </w:pBdr>
        <w:spacing w:line="256" w:lineRule="auto"/>
        <w:contextualSpacing/>
        <w:rPr>
          <w:rFonts w:ascii="Cambria" w:eastAsia="Cambria" w:hAnsi="Cambria" w:cs="Cambria"/>
          <w:color w:val="000000"/>
        </w:rPr>
      </w:pPr>
      <w:r>
        <w:rPr>
          <w:rFonts w:ascii="Cambria" w:eastAsia="Cambria" w:hAnsi="Cambria" w:cs="Cambria"/>
          <w:b/>
          <w:color w:val="000000"/>
        </w:rPr>
        <w:t>PERFIL DEL CONSULTOR</w:t>
      </w:r>
    </w:p>
    <w:p w:rsidR="003532C8" w:rsidRDefault="00F6755E">
      <w:pPr>
        <w:spacing w:before="240" w:after="0" w:line="276" w:lineRule="auto"/>
        <w:jc w:val="both"/>
        <w:rPr>
          <w:rFonts w:ascii="Cambria" w:eastAsia="Cambria" w:hAnsi="Cambria" w:cs="Cambria"/>
        </w:rPr>
      </w:pPr>
      <w:r>
        <w:rPr>
          <w:rFonts w:ascii="Cambria" w:eastAsia="Cambria" w:hAnsi="Cambria" w:cs="Cambria"/>
        </w:rPr>
        <w:t>El (La) consultor(a) contratado(a) deberá contar como mínimo con las siguientes calificaciones:</w:t>
      </w:r>
    </w:p>
    <w:p w:rsidR="009C26D4" w:rsidRPr="009C26D4" w:rsidRDefault="00F6755E" w:rsidP="009C26D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9C26D4">
        <w:rPr>
          <w:rFonts w:ascii="Cambria" w:eastAsia="Cambria" w:hAnsi="Cambria" w:cs="Cambria"/>
        </w:rPr>
        <w:t xml:space="preserve">Profesional  universitario egresado de la carrera </w:t>
      </w:r>
      <w:r w:rsidR="009C26D4" w:rsidRPr="009C26D4">
        <w:rPr>
          <w:rFonts w:ascii="Cambria" w:eastAsia="Cambria" w:hAnsi="Cambria" w:cs="Cambria"/>
        </w:rPr>
        <w:t>de Psicología, administración de empresas o carreras afines</w:t>
      </w:r>
    </w:p>
    <w:p w:rsidR="009C26D4" w:rsidRPr="009C26D4" w:rsidRDefault="009C26D4" w:rsidP="009C26D4">
      <w:pPr>
        <w:numPr>
          <w:ilvl w:val="0"/>
          <w:numId w:val="3"/>
        </w:numPr>
        <w:shd w:val="clear" w:color="auto" w:fill="FFFFFF"/>
        <w:spacing w:before="100" w:beforeAutospacing="1" w:after="100" w:afterAutospacing="1" w:line="360" w:lineRule="auto"/>
        <w:rPr>
          <w:rFonts w:ascii="Cambria" w:eastAsia="Cambria" w:hAnsi="Cambria" w:cs="Cambria"/>
        </w:rPr>
      </w:pPr>
      <w:r w:rsidRPr="009C26D4">
        <w:rPr>
          <w:rFonts w:ascii="Cambria" w:eastAsia="Cambria" w:hAnsi="Cambria" w:cs="Cambria"/>
        </w:rPr>
        <w:t>Experiencia mayor de tres años en formulación y acompañamiento de proyectos realizados en el área de educación</w:t>
      </w:r>
    </w:p>
    <w:p w:rsidR="009C26D4" w:rsidRPr="009C26D4" w:rsidRDefault="009C26D4" w:rsidP="009C26D4">
      <w:pPr>
        <w:pStyle w:val="Prrafodelista"/>
        <w:numPr>
          <w:ilvl w:val="0"/>
          <w:numId w:val="3"/>
        </w:numPr>
        <w:spacing w:line="360" w:lineRule="auto"/>
        <w:rPr>
          <w:rFonts w:ascii="Cambria" w:eastAsia="Cambria" w:hAnsi="Cambria" w:cs="Cambria"/>
        </w:rPr>
      </w:pPr>
      <w:r w:rsidRPr="009C26D4">
        <w:rPr>
          <w:rFonts w:ascii="Cambria" w:eastAsia="Cambria" w:hAnsi="Cambria" w:cs="Cambria"/>
        </w:rPr>
        <w:t>Experiencia mayor de tres años en seguimiento y monitoreo de actividades físicas a nivel institucional</w:t>
      </w:r>
    </w:p>
    <w:p w:rsidR="009C26D4" w:rsidRPr="009C26D4" w:rsidRDefault="009C26D4" w:rsidP="009C26D4">
      <w:pPr>
        <w:pStyle w:val="Prrafodelista"/>
        <w:numPr>
          <w:ilvl w:val="0"/>
          <w:numId w:val="3"/>
        </w:numPr>
        <w:spacing w:line="360" w:lineRule="auto"/>
        <w:rPr>
          <w:rFonts w:ascii="Cambria" w:eastAsia="Cambria" w:hAnsi="Cambria" w:cs="Cambria"/>
        </w:rPr>
      </w:pPr>
      <w:r w:rsidRPr="009C26D4">
        <w:rPr>
          <w:rFonts w:ascii="Cambria" w:eastAsia="Cambria" w:hAnsi="Cambria" w:cs="Cambria"/>
        </w:rPr>
        <w:t>Capacidad y habilidad para trabajar en equipo</w:t>
      </w:r>
    </w:p>
    <w:p w:rsidR="009C26D4" w:rsidRPr="009C26D4" w:rsidRDefault="009C26D4" w:rsidP="009C26D4">
      <w:pPr>
        <w:pStyle w:val="Prrafodelista"/>
        <w:numPr>
          <w:ilvl w:val="0"/>
          <w:numId w:val="3"/>
        </w:numPr>
        <w:spacing w:line="360" w:lineRule="auto"/>
        <w:rPr>
          <w:rFonts w:ascii="Cambria" w:eastAsia="Cambria" w:hAnsi="Cambria" w:cs="Cambria"/>
        </w:rPr>
      </w:pPr>
      <w:r w:rsidRPr="009C26D4">
        <w:rPr>
          <w:rFonts w:ascii="Cambria" w:eastAsia="Cambria" w:hAnsi="Cambria" w:cs="Cambria"/>
        </w:rPr>
        <w:t>Habilidad para elaborar informes</w:t>
      </w:r>
    </w:p>
    <w:p w:rsidR="009C26D4" w:rsidRPr="009C26D4" w:rsidRDefault="009C26D4" w:rsidP="009C26D4">
      <w:pPr>
        <w:pStyle w:val="Prrafodelista"/>
        <w:numPr>
          <w:ilvl w:val="0"/>
          <w:numId w:val="3"/>
        </w:numPr>
        <w:spacing w:line="360" w:lineRule="auto"/>
        <w:rPr>
          <w:rFonts w:ascii="Cambria" w:eastAsia="Cambria" w:hAnsi="Cambria" w:cs="Cambria"/>
        </w:rPr>
      </w:pPr>
      <w:r w:rsidRPr="009C26D4">
        <w:rPr>
          <w:rFonts w:ascii="Cambria" w:eastAsia="Cambria" w:hAnsi="Cambria" w:cs="Cambria"/>
        </w:rPr>
        <w:t xml:space="preserve">Uso de herramientas de informática Word, Excel, </w:t>
      </w:r>
      <w:proofErr w:type="spellStart"/>
      <w:r w:rsidRPr="009C26D4">
        <w:rPr>
          <w:rFonts w:ascii="Cambria" w:eastAsia="Cambria" w:hAnsi="Cambria" w:cs="Cambria"/>
        </w:rPr>
        <w:t>Power</w:t>
      </w:r>
      <w:proofErr w:type="spellEnd"/>
      <w:r w:rsidRPr="009C26D4">
        <w:rPr>
          <w:rFonts w:ascii="Cambria" w:eastAsia="Cambria" w:hAnsi="Cambria" w:cs="Cambria"/>
        </w:rPr>
        <w:t xml:space="preserve"> Point</w:t>
      </w:r>
    </w:p>
    <w:p w:rsidR="009C26D4" w:rsidRPr="009C26D4" w:rsidRDefault="009C26D4" w:rsidP="009C26D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9C26D4">
        <w:rPr>
          <w:rFonts w:ascii="Cambria" w:eastAsia="Cambria" w:hAnsi="Cambria" w:cs="Cambria"/>
        </w:rPr>
        <w:lastRenderedPageBreak/>
        <w:t>Estar dispuesto a viajar fuera de Tegucigalpa</w:t>
      </w:r>
    </w:p>
    <w:p w:rsidR="009C26D4" w:rsidRPr="009C26D4" w:rsidRDefault="009C26D4" w:rsidP="009C26D4">
      <w:pPr>
        <w:pBdr>
          <w:top w:val="nil"/>
          <w:left w:val="nil"/>
          <w:bottom w:val="nil"/>
          <w:right w:val="nil"/>
          <w:between w:val="nil"/>
        </w:pBdr>
        <w:spacing w:before="240" w:after="0" w:line="276" w:lineRule="auto"/>
        <w:ind w:left="720"/>
        <w:contextualSpacing/>
        <w:jc w:val="both"/>
        <w:rPr>
          <w:rFonts w:ascii="Cambria" w:eastAsia="Cambria" w:hAnsi="Cambria" w:cs="Cambria"/>
        </w:rPr>
      </w:pPr>
    </w:p>
    <w:p w:rsidR="009C26D4" w:rsidRDefault="009C26D4" w:rsidP="009C26D4">
      <w:pPr>
        <w:pBdr>
          <w:top w:val="nil"/>
          <w:left w:val="nil"/>
          <w:bottom w:val="nil"/>
          <w:right w:val="nil"/>
          <w:between w:val="nil"/>
        </w:pBdr>
        <w:spacing w:before="240" w:after="0" w:line="276" w:lineRule="auto"/>
        <w:contextualSpacing/>
        <w:jc w:val="both"/>
        <w:rPr>
          <w:rFonts w:ascii="Cambria" w:eastAsia="Cambria" w:hAnsi="Cambria" w:cs="Cambria"/>
          <w:b/>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DURACIÓN DEL CONTRATO DE CONSULTORÍA</w:t>
      </w:r>
    </w:p>
    <w:p w:rsidR="009C26D4" w:rsidRDefault="00F6755E" w:rsidP="009C26D4">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w:t>
      </w:r>
      <w:r w:rsidR="004562E4">
        <w:rPr>
          <w:rFonts w:ascii="Cambria" w:eastAsia="Cambria" w:hAnsi="Cambria" w:cs="Cambria"/>
        </w:rPr>
        <w:t>en un periodo comprendido del 08</w:t>
      </w:r>
      <w:r>
        <w:rPr>
          <w:rFonts w:ascii="Cambria" w:eastAsia="Cambria" w:hAnsi="Cambria" w:cs="Cambria"/>
        </w:rPr>
        <w:t xml:space="preserve"> de </w:t>
      </w:r>
      <w:r w:rsidR="000A6EAF">
        <w:rPr>
          <w:rFonts w:ascii="Cambria" w:eastAsia="Cambria" w:hAnsi="Cambria" w:cs="Cambria"/>
        </w:rPr>
        <w:t>noviembre</w:t>
      </w:r>
      <w:r>
        <w:rPr>
          <w:rFonts w:ascii="Cambria" w:eastAsia="Cambria" w:hAnsi="Cambria" w:cs="Cambria"/>
        </w:rPr>
        <w:t xml:space="preserve"> hasta el 31 de diciembre de 2018. </w:t>
      </w:r>
    </w:p>
    <w:p w:rsidR="009C26D4" w:rsidRDefault="009C26D4" w:rsidP="009C26D4">
      <w:pPr>
        <w:spacing w:before="240" w:after="0" w:line="276" w:lineRule="auto"/>
        <w:jc w:val="both"/>
        <w:rPr>
          <w:rFonts w:ascii="Cambria" w:eastAsia="Cambria" w:hAnsi="Cambria" w:cs="Cambria"/>
        </w:rPr>
      </w:pPr>
    </w:p>
    <w:p w:rsidR="009C26D4" w:rsidRPr="009C26D4" w:rsidRDefault="009C26D4" w:rsidP="009C26D4">
      <w:pPr>
        <w:numPr>
          <w:ilvl w:val="0"/>
          <w:numId w:val="1"/>
        </w:numPr>
        <w:spacing w:after="0" w:line="276" w:lineRule="auto"/>
        <w:contextualSpacing/>
        <w:jc w:val="both"/>
        <w:rPr>
          <w:rFonts w:ascii="Cambria" w:eastAsia="Cambria" w:hAnsi="Cambria" w:cs="Cambria"/>
          <w:b/>
        </w:rPr>
      </w:pPr>
      <w:r w:rsidRPr="009C26D4">
        <w:rPr>
          <w:rFonts w:ascii="Cambria" w:eastAsia="Cambria" w:hAnsi="Cambria" w:cs="Cambria"/>
          <w:b/>
        </w:rPr>
        <w:t>CONFIDENCIALIDAD</w:t>
      </w:r>
    </w:p>
    <w:p w:rsidR="009C26D4" w:rsidRPr="00D174C5" w:rsidRDefault="009C26D4" w:rsidP="009C26D4">
      <w:pPr>
        <w:pStyle w:val="Sinespaciado"/>
        <w:ind w:left="360"/>
        <w:jc w:val="both"/>
        <w:rPr>
          <w:rFonts w:asciiTheme="majorHAnsi" w:hAnsiTheme="majorHAnsi"/>
        </w:rPr>
      </w:pPr>
    </w:p>
    <w:p w:rsidR="009C26D4" w:rsidRPr="009C26D4" w:rsidRDefault="009C26D4" w:rsidP="009C26D4">
      <w:pPr>
        <w:pStyle w:val="Sinespaciado"/>
        <w:jc w:val="both"/>
        <w:rPr>
          <w:rFonts w:ascii="Cambria" w:eastAsia="Cambria" w:hAnsi="Cambria" w:cs="Cambria"/>
          <w:lang w:eastAsia="es-HN"/>
        </w:rPr>
      </w:pPr>
      <w:r w:rsidRPr="009C26D4">
        <w:rPr>
          <w:rFonts w:ascii="Cambria" w:eastAsia="Cambria" w:hAnsi="Cambria" w:cs="Cambria"/>
          <w:lang w:eastAsia="es-HN"/>
        </w:rPr>
        <w:t xml:space="preserve">Toda la información, equipo e instrumentación asignada durante el desempeño de las funciones del personal  contratado debe ser de uso exclusivo para el cumplimiento de sus labores así mismo los productos generados durante la misma serán propiedad de la Secretaría de Educación y para uso exclusivo de la misma. </w:t>
      </w:r>
    </w:p>
    <w:p w:rsidR="009C26D4" w:rsidRPr="009C26D4" w:rsidRDefault="009C26D4" w:rsidP="009C26D4">
      <w:pPr>
        <w:pStyle w:val="Sinespaciado"/>
        <w:jc w:val="both"/>
        <w:rPr>
          <w:rFonts w:ascii="Cambria" w:eastAsia="Cambria" w:hAnsi="Cambria" w:cs="Cambria"/>
          <w:lang w:eastAsia="es-HN"/>
        </w:rPr>
      </w:pPr>
    </w:p>
    <w:p w:rsidR="009C26D4" w:rsidRPr="009C26D4" w:rsidRDefault="009C26D4" w:rsidP="009C26D4">
      <w:pPr>
        <w:pStyle w:val="Sinespaciado"/>
        <w:jc w:val="both"/>
        <w:rPr>
          <w:rFonts w:ascii="Cambria" w:eastAsia="Cambria" w:hAnsi="Cambria" w:cs="Cambria"/>
          <w:lang w:eastAsia="es-HN"/>
        </w:rPr>
      </w:pPr>
      <w:r w:rsidRPr="009C26D4">
        <w:rPr>
          <w:rFonts w:ascii="Cambria" w:eastAsia="Cambria" w:hAnsi="Cambria" w:cs="Cambria"/>
          <w:lang w:eastAsia="es-HN"/>
        </w:rPr>
        <w:t>Toda información obtenida directa o indirectamente durante la contratación es de carácter confidencial y no podrá ser divulgada ni durante ni después de la misma.</w:t>
      </w:r>
    </w:p>
    <w:p w:rsidR="009C26D4" w:rsidRPr="009C26D4" w:rsidRDefault="009C26D4" w:rsidP="009C26D4">
      <w:pPr>
        <w:pStyle w:val="Sinespaciado"/>
        <w:jc w:val="both"/>
        <w:rPr>
          <w:rFonts w:ascii="Cambria" w:eastAsia="Cambria" w:hAnsi="Cambria" w:cs="Cambria"/>
          <w:lang w:eastAsia="es-HN"/>
        </w:rPr>
      </w:pPr>
    </w:p>
    <w:p w:rsidR="009C26D4" w:rsidRPr="009C26D4" w:rsidRDefault="009C26D4" w:rsidP="009C26D4">
      <w:pPr>
        <w:pStyle w:val="Sinespaciado"/>
        <w:jc w:val="both"/>
        <w:rPr>
          <w:rFonts w:ascii="Cambria" w:eastAsia="Cambria" w:hAnsi="Cambria" w:cs="Cambria"/>
          <w:lang w:eastAsia="es-HN"/>
        </w:rPr>
      </w:pPr>
      <w:r w:rsidRPr="009C26D4">
        <w:rPr>
          <w:rFonts w:ascii="Cambria" w:eastAsia="Cambria" w:hAnsi="Cambria" w:cs="Cambria"/>
          <w:lang w:eastAsia="es-HN"/>
        </w:rPr>
        <w:t xml:space="preserve">El personal contratado además deberá ser suscriptor de los convenios de confidencialidad y seguridad que en el marco de la gestión de la información de la UPEG se disponga. </w:t>
      </w:r>
    </w:p>
    <w:p w:rsidR="009C26D4" w:rsidRDefault="009C26D4" w:rsidP="009C26D4">
      <w:pPr>
        <w:rPr>
          <w:rFonts w:ascii="Cambria" w:eastAsia="Cambria" w:hAnsi="Cambria" w:cs="Cambria"/>
        </w:rPr>
      </w:pPr>
    </w:p>
    <w:p w:rsidR="009C26D4" w:rsidRPr="009C26D4" w:rsidRDefault="009C26D4" w:rsidP="009C26D4">
      <w:pPr>
        <w:numPr>
          <w:ilvl w:val="0"/>
          <w:numId w:val="1"/>
        </w:numPr>
        <w:spacing w:after="0" w:line="276" w:lineRule="auto"/>
        <w:contextualSpacing/>
        <w:jc w:val="both"/>
        <w:rPr>
          <w:rFonts w:ascii="Cambria" w:eastAsia="Cambria" w:hAnsi="Cambria" w:cs="Cambria"/>
          <w:b/>
        </w:rPr>
      </w:pPr>
      <w:r w:rsidRPr="009C26D4">
        <w:rPr>
          <w:rFonts w:ascii="Cambria" w:eastAsia="Cambria" w:hAnsi="Cambria" w:cs="Cambria"/>
          <w:b/>
        </w:rPr>
        <w:t>MODALIDAD DE PAGO</w:t>
      </w:r>
    </w:p>
    <w:p w:rsidR="009C26D4" w:rsidRPr="00D174C5" w:rsidRDefault="009C26D4" w:rsidP="00541CE8">
      <w:pPr>
        <w:spacing w:before="240"/>
        <w:jc w:val="both"/>
        <w:rPr>
          <w:rFonts w:asciiTheme="majorHAnsi" w:hAnsiTheme="majorHAnsi"/>
          <w:spacing w:val="1"/>
        </w:rPr>
      </w:pPr>
      <w:r w:rsidRPr="00D174C5">
        <w:rPr>
          <w:rFonts w:asciiTheme="majorHAnsi" w:hAnsiTheme="majorHAnsi"/>
          <w:spacing w:val="1"/>
        </w:rPr>
        <w:t xml:space="preserve">El monto total de la consultoría será de LPS. </w:t>
      </w:r>
      <w:r>
        <w:rPr>
          <w:rFonts w:asciiTheme="majorHAnsi" w:hAnsiTheme="majorHAnsi"/>
          <w:spacing w:val="1"/>
        </w:rPr>
        <w:t xml:space="preserve">105,000.00 </w:t>
      </w:r>
      <w:r w:rsidRPr="00D174C5">
        <w:rPr>
          <w:rFonts w:asciiTheme="majorHAnsi" w:hAnsiTheme="majorHAnsi"/>
          <w:spacing w:val="1"/>
        </w:rPr>
        <w:t>contra entrega de producto</w:t>
      </w:r>
      <w:r>
        <w:rPr>
          <w:rFonts w:asciiTheme="majorHAnsi" w:hAnsiTheme="majorHAnsi"/>
          <w:spacing w:val="1"/>
        </w:rPr>
        <w:t>s:</w:t>
      </w:r>
    </w:p>
    <w:p w:rsidR="009C26D4" w:rsidRDefault="009C26D4" w:rsidP="00541CE8">
      <w:pPr>
        <w:pStyle w:val="Prrafodelista"/>
        <w:numPr>
          <w:ilvl w:val="0"/>
          <w:numId w:val="8"/>
        </w:numPr>
        <w:spacing w:before="240" w:after="0" w:line="276" w:lineRule="auto"/>
        <w:jc w:val="both"/>
        <w:rPr>
          <w:rFonts w:asciiTheme="majorHAnsi" w:hAnsiTheme="majorHAnsi"/>
          <w:spacing w:val="1"/>
        </w:rPr>
      </w:pPr>
      <w:r>
        <w:rPr>
          <w:rFonts w:asciiTheme="majorHAnsi" w:hAnsiTheme="majorHAnsi"/>
          <w:spacing w:val="1"/>
        </w:rPr>
        <w:t>33%</w:t>
      </w:r>
      <w:r w:rsidRPr="00D174C5">
        <w:rPr>
          <w:rFonts w:asciiTheme="majorHAnsi" w:hAnsiTheme="majorHAnsi"/>
          <w:spacing w:val="1"/>
        </w:rPr>
        <w:t xml:space="preserve"> del monto total contra la entrega y aceptación del producto 1: (entrega al </w:t>
      </w:r>
      <w:r w:rsidR="0023582F">
        <w:rPr>
          <w:rFonts w:asciiTheme="majorHAnsi" w:hAnsiTheme="majorHAnsi"/>
          <w:spacing w:val="1"/>
        </w:rPr>
        <w:t>19</w:t>
      </w:r>
      <w:r w:rsidRPr="00D174C5">
        <w:rPr>
          <w:rFonts w:asciiTheme="majorHAnsi" w:hAnsiTheme="majorHAnsi"/>
          <w:spacing w:val="1"/>
        </w:rPr>
        <w:t>/</w:t>
      </w:r>
      <w:r w:rsidR="00541CE8">
        <w:rPr>
          <w:rFonts w:asciiTheme="majorHAnsi" w:hAnsiTheme="majorHAnsi"/>
          <w:spacing w:val="1"/>
        </w:rPr>
        <w:t>11</w:t>
      </w:r>
      <w:r w:rsidRPr="00D174C5">
        <w:rPr>
          <w:rFonts w:asciiTheme="majorHAnsi" w:hAnsiTheme="majorHAnsi"/>
          <w:spacing w:val="1"/>
        </w:rPr>
        <w:t>/2018)</w:t>
      </w:r>
    </w:p>
    <w:p w:rsidR="009C26D4" w:rsidRPr="00D174C5" w:rsidRDefault="009C26D4" w:rsidP="00541CE8">
      <w:pPr>
        <w:pStyle w:val="Prrafodelista"/>
        <w:numPr>
          <w:ilvl w:val="0"/>
          <w:numId w:val="8"/>
        </w:numPr>
        <w:spacing w:before="240" w:after="0" w:line="276" w:lineRule="auto"/>
        <w:jc w:val="both"/>
        <w:rPr>
          <w:rFonts w:asciiTheme="majorHAnsi" w:hAnsiTheme="majorHAnsi"/>
          <w:spacing w:val="1"/>
        </w:rPr>
      </w:pPr>
      <w:r>
        <w:rPr>
          <w:rFonts w:asciiTheme="majorHAnsi" w:hAnsiTheme="majorHAnsi"/>
          <w:spacing w:val="1"/>
        </w:rPr>
        <w:t>33%</w:t>
      </w:r>
      <w:r w:rsidRPr="00D174C5">
        <w:rPr>
          <w:rFonts w:asciiTheme="majorHAnsi" w:hAnsiTheme="majorHAnsi"/>
          <w:spacing w:val="1"/>
        </w:rPr>
        <w:t xml:space="preserve"> del monto total contra la entrega y aceptación del producto </w:t>
      </w:r>
      <w:r w:rsidR="00541CE8">
        <w:rPr>
          <w:rFonts w:asciiTheme="majorHAnsi" w:hAnsiTheme="majorHAnsi"/>
          <w:spacing w:val="1"/>
        </w:rPr>
        <w:t>2</w:t>
      </w:r>
      <w:r w:rsidRPr="00D174C5">
        <w:rPr>
          <w:rFonts w:asciiTheme="majorHAnsi" w:hAnsiTheme="majorHAnsi"/>
          <w:spacing w:val="1"/>
        </w:rPr>
        <w:t xml:space="preserve">: (entrega al </w:t>
      </w:r>
      <w:r w:rsidR="004562E4">
        <w:rPr>
          <w:rFonts w:asciiTheme="majorHAnsi" w:hAnsiTheme="majorHAnsi"/>
          <w:spacing w:val="1"/>
        </w:rPr>
        <w:t>3</w:t>
      </w:r>
      <w:r w:rsidRPr="00D174C5">
        <w:rPr>
          <w:rFonts w:asciiTheme="majorHAnsi" w:hAnsiTheme="majorHAnsi"/>
          <w:spacing w:val="1"/>
        </w:rPr>
        <w:t>/</w:t>
      </w:r>
      <w:r w:rsidR="004562E4">
        <w:rPr>
          <w:rFonts w:asciiTheme="majorHAnsi" w:hAnsiTheme="majorHAnsi"/>
          <w:spacing w:val="1"/>
        </w:rPr>
        <w:t>12</w:t>
      </w:r>
      <w:r w:rsidRPr="00D174C5">
        <w:rPr>
          <w:rFonts w:asciiTheme="majorHAnsi" w:hAnsiTheme="majorHAnsi"/>
          <w:spacing w:val="1"/>
        </w:rPr>
        <w:t>/2018)</w:t>
      </w:r>
    </w:p>
    <w:p w:rsidR="009C26D4" w:rsidRPr="00D174C5" w:rsidRDefault="00541CE8" w:rsidP="00541CE8">
      <w:pPr>
        <w:pStyle w:val="Prrafodelista"/>
        <w:numPr>
          <w:ilvl w:val="0"/>
          <w:numId w:val="8"/>
        </w:numPr>
        <w:spacing w:before="240" w:after="0" w:line="276" w:lineRule="auto"/>
        <w:jc w:val="both"/>
        <w:rPr>
          <w:rFonts w:asciiTheme="majorHAnsi" w:hAnsiTheme="majorHAnsi"/>
          <w:spacing w:val="1"/>
        </w:rPr>
      </w:pPr>
      <w:r>
        <w:rPr>
          <w:rFonts w:asciiTheme="majorHAnsi" w:hAnsiTheme="majorHAnsi"/>
          <w:spacing w:val="1"/>
        </w:rPr>
        <w:t>34</w:t>
      </w:r>
      <w:r w:rsidR="009C26D4">
        <w:rPr>
          <w:rFonts w:asciiTheme="majorHAnsi" w:hAnsiTheme="majorHAnsi"/>
          <w:spacing w:val="1"/>
        </w:rPr>
        <w:t>%</w:t>
      </w:r>
      <w:r w:rsidR="009C26D4" w:rsidRPr="00D174C5">
        <w:rPr>
          <w:rFonts w:asciiTheme="majorHAnsi" w:hAnsiTheme="majorHAnsi"/>
          <w:spacing w:val="1"/>
        </w:rPr>
        <w:t xml:space="preserve"> del monto total contra la entrega y aceptación del producto </w:t>
      </w:r>
      <w:r>
        <w:rPr>
          <w:rFonts w:asciiTheme="majorHAnsi" w:hAnsiTheme="majorHAnsi"/>
          <w:spacing w:val="1"/>
        </w:rPr>
        <w:t>3</w:t>
      </w:r>
      <w:r w:rsidR="009C26D4" w:rsidRPr="00D174C5">
        <w:rPr>
          <w:rFonts w:asciiTheme="majorHAnsi" w:hAnsiTheme="majorHAnsi"/>
          <w:spacing w:val="1"/>
        </w:rPr>
        <w:t xml:space="preserve">: (entrega al </w:t>
      </w:r>
      <w:r w:rsidR="004562E4">
        <w:rPr>
          <w:rFonts w:asciiTheme="majorHAnsi" w:hAnsiTheme="majorHAnsi"/>
          <w:spacing w:val="1"/>
        </w:rPr>
        <w:t>17</w:t>
      </w:r>
      <w:r w:rsidR="009C26D4" w:rsidRPr="00D174C5">
        <w:rPr>
          <w:rFonts w:asciiTheme="majorHAnsi" w:hAnsiTheme="majorHAnsi"/>
          <w:spacing w:val="1"/>
        </w:rPr>
        <w:t>/</w:t>
      </w:r>
      <w:r>
        <w:rPr>
          <w:rFonts w:asciiTheme="majorHAnsi" w:hAnsiTheme="majorHAnsi"/>
          <w:spacing w:val="1"/>
        </w:rPr>
        <w:t>12</w:t>
      </w:r>
      <w:r w:rsidR="009C26D4" w:rsidRPr="00D174C5">
        <w:rPr>
          <w:rFonts w:asciiTheme="majorHAnsi" w:hAnsiTheme="majorHAnsi"/>
          <w:spacing w:val="1"/>
        </w:rPr>
        <w:t>/2018)</w:t>
      </w:r>
    </w:p>
    <w:p w:rsidR="009C26D4" w:rsidRPr="00D174C5" w:rsidRDefault="009C26D4" w:rsidP="009C26D4">
      <w:pPr>
        <w:pStyle w:val="Prrafodelista"/>
        <w:spacing w:before="240"/>
        <w:ind w:left="1003"/>
        <w:jc w:val="both"/>
        <w:rPr>
          <w:rFonts w:asciiTheme="majorHAnsi" w:hAnsiTheme="majorHAnsi"/>
        </w:rPr>
      </w:pPr>
    </w:p>
    <w:p w:rsidR="009C26D4" w:rsidRPr="00541CE8" w:rsidRDefault="009C26D4" w:rsidP="00541CE8">
      <w:pPr>
        <w:numPr>
          <w:ilvl w:val="0"/>
          <w:numId w:val="1"/>
        </w:numPr>
        <w:spacing w:after="0" w:line="276" w:lineRule="auto"/>
        <w:contextualSpacing/>
        <w:jc w:val="both"/>
        <w:rPr>
          <w:rFonts w:ascii="Cambria" w:eastAsia="Cambria" w:hAnsi="Cambria" w:cs="Cambria"/>
          <w:b/>
        </w:rPr>
      </w:pPr>
      <w:r w:rsidRPr="00541CE8">
        <w:rPr>
          <w:rFonts w:ascii="Cambria" w:eastAsia="Cambria" w:hAnsi="Cambria" w:cs="Cambria"/>
          <w:b/>
        </w:rPr>
        <w:t>IMPUESTOS</w:t>
      </w:r>
    </w:p>
    <w:p w:rsidR="00541CE8" w:rsidRDefault="009C26D4" w:rsidP="00541CE8">
      <w:pPr>
        <w:jc w:val="both"/>
        <w:rPr>
          <w:rFonts w:asciiTheme="majorHAnsi" w:hAnsiTheme="majorHAnsi"/>
          <w:spacing w:val="1"/>
        </w:rPr>
      </w:pPr>
      <w:r w:rsidRPr="00D174C5">
        <w:rPr>
          <w:rFonts w:asciiTheme="majorHAnsi" w:hAnsiTheme="majorHAnsi"/>
          <w:spacing w:val="1"/>
        </w:rPr>
        <w:t>Se hará deducible el 12.5% del monto total de la consultoría equivalente al pago de honorarios profesionales por concepto de pago de impuesto sobre la renta (ISR).</w:t>
      </w:r>
    </w:p>
    <w:p w:rsidR="00541CE8" w:rsidRDefault="00541CE8">
      <w:pPr>
        <w:rPr>
          <w:rFonts w:asciiTheme="majorHAnsi" w:hAnsiTheme="majorHAnsi"/>
          <w:spacing w:val="1"/>
        </w:rPr>
      </w:pPr>
      <w:r>
        <w:rPr>
          <w:rFonts w:asciiTheme="majorHAnsi" w:hAnsiTheme="majorHAnsi"/>
          <w:spacing w:val="1"/>
        </w:rPr>
        <w:br w:type="page"/>
      </w:r>
    </w:p>
    <w:p w:rsidR="009C26D4" w:rsidRPr="00D174C5" w:rsidRDefault="009C26D4" w:rsidP="00541CE8">
      <w:pPr>
        <w:jc w:val="both"/>
        <w:rPr>
          <w:rFonts w:asciiTheme="majorHAnsi" w:hAnsiTheme="majorHAnsi"/>
          <w:spacing w:val="1"/>
        </w:rPr>
      </w:pPr>
    </w:p>
    <w:p w:rsidR="009C26D4" w:rsidRPr="00541CE8" w:rsidRDefault="009C26D4" w:rsidP="00541CE8">
      <w:pPr>
        <w:numPr>
          <w:ilvl w:val="0"/>
          <w:numId w:val="1"/>
        </w:numPr>
        <w:spacing w:after="0" w:line="276" w:lineRule="auto"/>
        <w:contextualSpacing/>
        <w:jc w:val="both"/>
        <w:rPr>
          <w:rFonts w:ascii="Cambria" w:eastAsia="Cambria" w:hAnsi="Cambria" w:cs="Cambria"/>
          <w:b/>
        </w:rPr>
      </w:pPr>
      <w:r w:rsidRPr="00541CE8">
        <w:rPr>
          <w:rFonts w:ascii="Cambria" w:eastAsia="Cambria" w:hAnsi="Cambria" w:cs="Cambria"/>
          <w:b/>
        </w:rPr>
        <w:t xml:space="preserve"> GARANTÍA DE CALIDAD</w:t>
      </w:r>
    </w:p>
    <w:p w:rsidR="009C26D4" w:rsidRPr="00D174C5" w:rsidRDefault="009C26D4" w:rsidP="009C26D4">
      <w:pPr>
        <w:autoSpaceDE w:val="0"/>
        <w:autoSpaceDN w:val="0"/>
        <w:adjustRightInd w:val="0"/>
        <w:spacing w:line="360" w:lineRule="auto"/>
        <w:ind w:left="360"/>
        <w:jc w:val="both"/>
        <w:rPr>
          <w:rFonts w:asciiTheme="majorHAnsi" w:hAnsiTheme="majorHAnsi"/>
        </w:rPr>
      </w:pPr>
      <w:r w:rsidRPr="00D174C5">
        <w:rPr>
          <w:rFonts w:asciiTheme="majorHAnsi" w:hAnsiTheme="majorHAnsi"/>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D174C5">
        <w:rPr>
          <w:rFonts w:asciiTheme="majorHAnsi" w:hAnsiTheme="majorHAnsi"/>
          <w:color w:val="FF0000"/>
        </w:rPr>
        <w:t xml:space="preserve"> </w:t>
      </w:r>
      <w:r w:rsidRPr="00D174C5">
        <w:rPr>
          <w:rFonts w:asciiTheme="majorHAnsi" w:hAnsiTheme="majorHAnsi"/>
        </w:rPr>
        <w:t>junto al pago final al producirse la terminación normal del contrato.</w:t>
      </w:r>
    </w:p>
    <w:p w:rsidR="009C26D4" w:rsidRPr="00541CE8" w:rsidRDefault="009C26D4" w:rsidP="00541CE8">
      <w:pPr>
        <w:numPr>
          <w:ilvl w:val="0"/>
          <w:numId w:val="1"/>
        </w:numPr>
        <w:spacing w:after="0" w:line="276" w:lineRule="auto"/>
        <w:contextualSpacing/>
        <w:jc w:val="both"/>
        <w:rPr>
          <w:rFonts w:ascii="Cambria" w:eastAsia="Cambria" w:hAnsi="Cambria" w:cs="Cambria"/>
          <w:b/>
        </w:rPr>
      </w:pPr>
      <w:r w:rsidRPr="00541CE8">
        <w:rPr>
          <w:rFonts w:ascii="Cambria" w:eastAsia="Cambria" w:hAnsi="Cambria" w:cs="Cambria"/>
          <w:b/>
        </w:rPr>
        <w:t xml:space="preserve">MULTAS </w:t>
      </w:r>
    </w:p>
    <w:p w:rsidR="009C26D4" w:rsidRPr="00D174C5" w:rsidRDefault="009C26D4" w:rsidP="009C26D4">
      <w:pPr>
        <w:pStyle w:val="Pa2"/>
        <w:spacing w:line="360" w:lineRule="auto"/>
        <w:ind w:left="360"/>
        <w:jc w:val="both"/>
        <w:rPr>
          <w:rFonts w:asciiTheme="majorHAnsi" w:hAnsiTheme="majorHAnsi"/>
          <w:i/>
          <w:sz w:val="22"/>
          <w:szCs w:val="22"/>
        </w:rPr>
      </w:pPr>
      <w:r w:rsidRPr="00D174C5">
        <w:rPr>
          <w:rFonts w:asciiTheme="majorHAnsi" w:eastAsia="Calibri" w:hAnsiTheme="majorHAnsi" w:cs="Calibri"/>
          <w:spacing w:val="1"/>
          <w:sz w:val="22"/>
          <w:szCs w:val="22"/>
        </w:rPr>
        <w:t>El contrato estará sujeto a lo establecido en el</w:t>
      </w:r>
      <w:r w:rsidRPr="00D174C5">
        <w:rPr>
          <w:rFonts w:asciiTheme="majorHAnsi" w:hAnsiTheme="majorHAnsi"/>
          <w:b/>
          <w:bCs/>
          <w:sz w:val="22"/>
          <w:szCs w:val="22"/>
        </w:rPr>
        <w:t xml:space="preserve"> </w:t>
      </w:r>
      <w:r w:rsidRPr="00D174C5">
        <w:rPr>
          <w:rFonts w:asciiTheme="majorHAnsi" w:hAnsiTheme="majorHAnsi"/>
          <w:bCs/>
          <w:sz w:val="22"/>
          <w:szCs w:val="22"/>
        </w:rPr>
        <w:t>ARTÍCULO 67 de las Disposiciones Generales del Presupuesto de Ingresos y Egresos de la República, ejercicio fiscal 2018, publicadas en el Diario Oficial La Gaceta el viernes 19 de enero de 2018, el cual establece que: “</w:t>
      </w:r>
      <w:r w:rsidRPr="00D174C5">
        <w:rPr>
          <w:rFonts w:asciiTheme="majorHAnsi" w:hAnsiTheme="majorHAnsi"/>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0A6EAF" w:rsidRDefault="009C26D4" w:rsidP="00541CE8">
      <w:pPr>
        <w:spacing w:line="360" w:lineRule="auto"/>
        <w:ind w:left="360"/>
        <w:jc w:val="both"/>
        <w:rPr>
          <w:rFonts w:ascii="Cambria" w:eastAsia="Cambria" w:hAnsi="Cambria" w:cs="Cambria"/>
        </w:rPr>
      </w:pPr>
      <w:r w:rsidRPr="00D174C5">
        <w:rPr>
          <w:rFonts w:asciiTheme="majorHAnsi" w:hAnsiTheme="majorHAnsi"/>
          <w:i/>
        </w:rPr>
        <w:t>Esta misma disposición se debe aplicar a todos los contratos de bienes y servicios que celebren las Instituciones del Sector Público”.</w:t>
      </w:r>
    </w:p>
    <w:sectPr w:rsidR="000A6EAF">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C3" w:rsidRDefault="00DF1FC3">
      <w:pPr>
        <w:spacing w:after="0" w:line="240" w:lineRule="auto"/>
      </w:pPr>
      <w:r>
        <w:separator/>
      </w:r>
    </w:p>
  </w:endnote>
  <w:endnote w:type="continuationSeparator" w:id="0">
    <w:p w:rsidR="00DF1FC3" w:rsidRDefault="00DF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8" w:rsidRDefault="00F6755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3532C8" w:rsidRDefault="00F6755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3532C8" w:rsidRDefault="003532C8">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3532C8" w:rsidRDefault="00F6755E">
    <w:pPr>
      <w:jc w:val="right"/>
    </w:pPr>
    <w:r>
      <w:t xml:space="preserve">Página </w:t>
    </w:r>
    <w:r>
      <w:fldChar w:fldCharType="begin"/>
    </w:r>
    <w:r>
      <w:instrText>PAGE</w:instrText>
    </w:r>
    <w:r>
      <w:fldChar w:fldCharType="separate"/>
    </w:r>
    <w:r w:rsidR="00F839F0">
      <w:rPr>
        <w:noProof/>
      </w:rPr>
      <w:t>5</w:t>
    </w:r>
    <w:r>
      <w:fldChar w:fldCharType="end"/>
    </w:r>
    <w:r>
      <w:t xml:space="preserve"> de </w:t>
    </w:r>
    <w:r>
      <w:fldChar w:fldCharType="begin"/>
    </w:r>
    <w:r>
      <w:instrText>NUMPAGES</w:instrText>
    </w:r>
    <w:r>
      <w:fldChar w:fldCharType="separate"/>
    </w:r>
    <w:r w:rsidR="00F839F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C3" w:rsidRDefault="00DF1FC3">
      <w:pPr>
        <w:spacing w:after="0" w:line="240" w:lineRule="auto"/>
      </w:pPr>
      <w:r>
        <w:separator/>
      </w:r>
    </w:p>
  </w:footnote>
  <w:footnote w:type="continuationSeparator" w:id="0">
    <w:p w:rsidR="00DF1FC3" w:rsidRDefault="00DF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8" w:rsidRDefault="00F6755E">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p w:rsidR="003532C8" w:rsidRDefault="003532C8">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E5827"/>
    <w:multiLevelType w:val="hybridMultilevel"/>
    <w:tmpl w:val="F1F60A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250C00F2"/>
    <w:multiLevelType w:val="hybridMultilevel"/>
    <w:tmpl w:val="E65627E0"/>
    <w:lvl w:ilvl="0" w:tplc="480A0017">
      <w:start w:val="1"/>
      <w:numFmt w:val="lowerLetter"/>
      <w:lvlText w:val="%1)"/>
      <w:lvlJc w:val="left"/>
      <w:pPr>
        <w:ind w:left="1517" w:hanging="360"/>
      </w:pPr>
    </w:lvl>
    <w:lvl w:ilvl="1" w:tplc="480A0019">
      <w:start w:val="1"/>
      <w:numFmt w:val="lowerLetter"/>
      <w:lvlText w:val="%2."/>
      <w:lvlJc w:val="left"/>
      <w:pPr>
        <w:ind w:left="2237" w:hanging="360"/>
      </w:pPr>
    </w:lvl>
    <w:lvl w:ilvl="2" w:tplc="480A001B" w:tentative="1">
      <w:start w:val="1"/>
      <w:numFmt w:val="lowerRoman"/>
      <w:lvlText w:val="%3."/>
      <w:lvlJc w:val="right"/>
      <w:pPr>
        <w:ind w:left="2957" w:hanging="180"/>
      </w:pPr>
    </w:lvl>
    <w:lvl w:ilvl="3" w:tplc="480A000F" w:tentative="1">
      <w:start w:val="1"/>
      <w:numFmt w:val="decimal"/>
      <w:lvlText w:val="%4."/>
      <w:lvlJc w:val="left"/>
      <w:pPr>
        <w:ind w:left="3677" w:hanging="360"/>
      </w:pPr>
    </w:lvl>
    <w:lvl w:ilvl="4" w:tplc="480A0019" w:tentative="1">
      <w:start w:val="1"/>
      <w:numFmt w:val="lowerLetter"/>
      <w:lvlText w:val="%5."/>
      <w:lvlJc w:val="left"/>
      <w:pPr>
        <w:ind w:left="4397" w:hanging="360"/>
      </w:pPr>
    </w:lvl>
    <w:lvl w:ilvl="5" w:tplc="480A001B" w:tentative="1">
      <w:start w:val="1"/>
      <w:numFmt w:val="lowerRoman"/>
      <w:lvlText w:val="%6."/>
      <w:lvlJc w:val="right"/>
      <w:pPr>
        <w:ind w:left="5117" w:hanging="180"/>
      </w:pPr>
    </w:lvl>
    <w:lvl w:ilvl="6" w:tplc="480A000F" w:tentative="1">
      <w:start w:val="1"/>
      <w:numFmt w:val="decimal"/>
      <w:lvlText w:val="%7."/>
      <w:lvlJc w:val="left"/>
      <w:pPr>
        <w:ind w:left="5837" w:hanging="360"/>
      </w:pPr>
    </w:lvl>
    <w:lvl w:ilvl="7" w:tplc="480A0019" w:tentative="1">
      <w:start w:val="1"/>
      <w:numFmt w:val="lowerLetter"/>
      <w:lvlText w:val="%8."/>
      <w:lvlJc w:val="left"/>
      <w:pPr>
        <w:ind w:left="6557" w:hanging="360"/>
      </w:pPr>
    </w:lvl>
    <w:lvl w:ilvl="8" w:tplc="480A001B" w:tentative="1">
      <w:start w:val="1"/>
      <w:numFmt w:val="lowerRoman"/>
      <w:lvlText w:val="%9."/>
      <w:lvlJc w:val="right"/>
      <w:pPr>
        <w:ind w:left="7277" w:hanging="180"/>
      </w:pPr>
    </w:lvl>
  </w:abstractNum>
  <w:abstractNum w:abstractNumId="2">
    <w:nsid w:val="3C88695C"/>
    <w:multiLevelType w:val="hybridMultilevel"/>
    <w:tmpl w:val="F53A77B4"/>
    <w:lvl w:ilvl="0" w:tplc="57863E0E">
      <w:start w:val="8"/>
      <w:numFmt w:val="upperRoman"/>
      <w:lvlText w:val="%1."/>
      <w:lvlJc w:val="right"/>
      <w:pPr>
        <w:ind w:left="360" w:hanging="360"/>
      </w:pPr>
      <w:rPr>
        <w:rFonts w:hint="default"/>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
    <w:nsid w:val="3DC72E36"/>
    <w:multiLevelType w:val="multilevel"/>
    <w:tmpl w:val="F3628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B23FF2"/>
    <w:multiLevelType w:val="multilevel"/>
    <w:tmpl w:val="D25A7B12"/>
    <w:lvl w:ilvl="0">
      <w:start w:val="1"/>
      <w:numFmt w:val="upperRoman"/>
      <w:lvlText w:val="%1."/>
      <w:lvlJc w:val="right"/>
      <w:pPr>
        <w:ind w:left="64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51F55928"/>
    <w:multiLevelType w:val="multilevel"/>
    <w:tmpl w:val="410CF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D7267D"/>
    <w:multiLevelType w:val="multilevel"/>
    <w:tmpl w:val="A790A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532C8"/>
    <w:rsid w:val="000A6EAF"/>
    <w:rsid w:val="00180B7F"/>
    <w:rsid w:val="0023582F"/>
    <w:rsid w:val="002C545F"/>
    <w:rsid w:val="003532C8"/>
    <w:rsid w:val="00395666"/>
    <w:rsid w:val="004562E4"/>
    <w:rsid w:val="00541CE8"/>
    <w:rsid w:val="008727CF"/>
    <w:rsid w:val="009C26D4"/>
    <w:rsid w:val="00D65315"/>
    <w:rsid w:val="00DF1FC3"/>
    <w:rsid w:val="00F6755E"/>
    <w:rsid w:val="00F839F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218F3-ED15-47E6-BFBD-4C0CECC4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A6E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EAF"/>
    <w:rPr>
      <w:rFonts w:ascii="Segoe UI" w:hAnsi="Segoe UI" w:cs="Segoe UI"/>
      <w:sz w:val="18"/>
      <w:szCs w:val="18"/>
    </w:rPr>
  </w:style>
  <w:style w:type="paragraph" w:styleId="Sinespaciado">
    <w:name w:val="No Spacing"/>
    <w:qFormat/>
    <w:rsid w:val="009C26D4"/>
    <w:pPr>
      <w:spacing w:after="0" w:line="240" w:lineRule="auto"/>
    </w:pPr>
    <w:rPr>
      <w:rFonts w:asciiTheme="minorHAnsi" w:eastAsiaTheme="minorHAnsi" w:hAnsiTheme="minorHAnsi" w:cstheme="minorBidi"/>
      <w:lang w:eastAsia="en-US"/>
    </w:rPr>
  </w:style>
  <w:style w:type="paragraph" w:styleId="Prrafodelista">
    <w:name w:val="List Paragraph"/>
    <w:basedOn w:val="Normal"/>
    <w:uiPriority w:val="34"/>
    <w:qFormat/>
    <w:rsid w:val="009C26D4"/>
    <w:pPr>
      <w:ind w:left="720"/>
      <w:contextualSpacing/>
    </w:pPr>
  </w:style>
  <w:style w:type="paragraph" w:customStyle="1" w:styleId="Pa2">
    <w:name w:val="Pa2"/>
    <w:basedOn w:val="Normal"/>
    <w:next w:val="Normal"/>
    <w:uiPriority w:val="99"/>
    <w:rsid w:val="009C26D4"/>
    <w:pPr>
      <w:autoSpaceDE w:val="0"/>
      <w:autoSpaceDN w:val="0"/>
      <w:adjustRightInd w:val="0"/>
      <w:spacing w:after="0" w:line="241"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1396</Words>
  <Characters>7681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Sanchez Cantarero</cp:lastModifiedBy>
  <cp:revision>8</cp:revision>
  <cp:lastPrinted>2018-10-12T19:54:00Z</cp:lastPrinted>
  <dcterms:created xsi:type="dcterms:W3CDTF">2018-10-12T19:36:00Z</dcterms:created>
  <dcterms:modified xsi:type="dcterms:W3CDTF">2018-10-26T16:55:00Z</dcterms:modified>
</cp:coreProperties>
</file>