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433" w:rsidRPr="008D2D86" w:rsidRDefault="004F2433" w:rsidP="008D2D86">
      <w:pPr>
        <w:spacing w:after="60" w:line="276" w:lineRule="auto"/>
        <w:jc w:val="both"/>
        <w:rPr>
          <w:rFonts w:asciiTheme="majorHAnsi" w:eastAsia="Times New Roman" w:hAnsiTheme="majorHAnsi" w:cs="Times New Roman"/>
          <w:b/>
          <w:sz w:val="24"/>
          <w:szCs w:val="24"/>
        </w:rPr>
      </w:pPr>
    </w:p>
    <w:p w:rsidR="004F2433" w:rsidRPr="008D2D86" w:rsidRDefault="00D7666E" w:rsidP="008D2D86">
      <w:pPr>
        <w:spacing w:after="60" w:line="276" w:lineRule="auto"/>
        <w:jc w:val="center"/>
        <w:rPr>
          <w:rFonts w:asciiTheme="majorHAnsi" w:eastAsia="Times New Roman" w:hAnsiTheme="majorHAnsi" w:cs="Times New Roman"/>
          <w:b/>
          <w:sz w:val="24"/>
          <w:szCs w:val="24"/>
        </w:rPr>
      </w:pPr>
      <w:r w:rsidRPr="008D2D86">
        <w:rPr>
          <w:rFonts w:asciiTheme="majorHAnsi" w:eastAsia="Times New Roman" w:hAnsiTheme="majorHAnsi" w:cs="Times New Roman"/>
          <w:b/>
          <w:sz w:val="24"/>
          <w:szCs w:val="24"/>
        </w:rPr>
        <w:t>SECRETARÍA DE EDUCACIÓN</w:t>
      </w:r>
    </w:p>
    <w:p w:rsidR="004F2433" w:rsidRPr="008D2D86" w:rsidRDefault="00D7666E" w:rsidP="008D2D86">
      <w:pPr>
        <w:widowControl w:val="0"/>
        <w:pBdr>
          <w:top w:val="nil"/>
          <w:left w:val="nil"/>
          <w:bottom w:val="nil"/>
          <w:right w:val="nil"/>
          <w:between w:val="nil"/>
        </w:pBdr>
        <w:spacing w:after="60" w:line="276" w:lineRule="auto"/>
        <w:jc w:val="center"/>
        <w:rPr>
          <w:rFonts w:asciiTheme="majorHAnsi" w:eastAsia="Times New Roman" w:hAnsiTheme="majorHAnsi" w:cs="Times New Roman"/>
          <w:b/>
          <w:color w:val="000000"/>
          <w:sz w:val="24"/>
          <w:szCs w:val="24"/>
        </w:rPr>
      </w:pPr>
      <w:r w:rsidRPr="008D2D86">
        <w:rPr>
          <w:rFonts w:asciiTheme="majorHAnsi" w:eastAsia="Times New Roman" w:hAnsiTheme="majorHAnsi" w:cs="Times New Roman"/>
          <w:b/>
          <w:color w:val="000000"/>
          <w:sz w:val="24"/>
          <w:szCs w:val="24"/>
        </w:rPr>
        <w:t>TÉRMINOS DE REFERENCIA PARA EL GERENCIAMIENTO DEL DIALOGO NACIONAL LA MEJORA DE LA CALIDAD EDUCATIVA</w:t>
      </w:r>
    </w:p>
    <w:p w:rsidR="004F2433" w:rsidRPr="008D2D86" w:rsidRDefault="008D2D86" w:rsidP="008D2D86">
      <w:pPr>
        <w:widowControl w:val="0"/>
        <w:pBdr>
          <w:top w:val="nil"/>
          <w:left w:val="nil"/>
          <w:bottom w:val="nil"/>
          <w:right w:val="nil"/>
          <w:between w:val="nil"/>
        </w:pBdr>
        <w:spacing w:after="60" w:line="276" w:lineRule="auto"/>
        <w:jc w:val="center"/>
        <w:rPr>
          <w:rFonts w:asciiTheme="majorHAnsi" w:eastAsia="Times New Roman" w:hAnsiTheme="majorHAnsi" w:cs="Times New Roman"/>
          <w:b/>
          <w:color w:val="000000"/>
          <w:sz w:val="24"/>
          <w:szCs w:val="24"/>
          <w:u w:val="single"/>
        </w:rPr>
      </w:pPr>
      <w:r w:rsidRPr="008D2D86">
        <w:rPr>
          <w:rFonts w:asciiTheme="majorHAnsi" w:eastAsia="Times New Roman" w:hAnsiTheme="majorHAnsi" w:cs="Times New Roman"/>
          <w:b/>
          <w:color w:val="000000"/>
          <w:sz w:val="24"/>
          <w:szCs w:val="24"/>
          <w:u w:val="single"/>
        </w:rPr>
        <w:t>CI-060-DM-DGA-SE-2019</w:t>
      </w:r>
    </w:p>
    <w:p w:rsidR="004F2433" w:rsidRPr="008D2D86" w:rsidRDefault="00D7666E" w:rsidP="008D2D86">
      <w:pPr>
        <w:spacing w:after="60" w:line="276" w:lineRule="auto"/>
        <w:jc w:val="both"/>
        <w:rPr>
          <w:rFonts w:asciiTheme="majorHAnsi" w:eastAsia="Times New Roman" w:hAnsiTheme="majorHAnsi" w:cs="Times New Roman"/>
          <w:b/>
          <w:sz w:val="24"/>
          <w:szCs w:val="24"/>
        </w:rPr>
      </w:pPr>
      <w:r w:rsidRPr="008D2D86">
        <w:rPr>
          <w:rFonts w:asciiTheme="majorHAnsi" w:eastAsia="Times New Roman" w:hAnsiTheme="majorHAnsi" w:cs="Times New Roman"/>
          <w:b/>
          <w:sz w:val="24"/>
          <w:szCs w:val="24"/>
        </w:rPr>
        <w:t xml:space="preserve">I.- ANTECEDENTES: </w:t>
      </w:r>
    </w:p>
    <w:p w:rsidR="004F2433" w:rsidRPr="008D2D86" w:rsidRDefault="004F2433" w:rsidP="008D2D86">
      <w:pPr>
        <w:spacing w:after="60" w:line="276" w:lineRule="auto"/>
        <w:jc w:val="both"/>
        <w:rPr>
          <w:rFonts w:asciiTheme="majorHAnsi" w:eastAsia="Times New Roman" w:hAnsiTheme="majorHAnsi" w:cs="Times New Roman"/>
          <w:b/>
          <w:sz w:val="24"/>
          <w:szCs w:val="24"/>
        </w:rPr>
      </w:pPr>
    </w:p>
    <w:p w:rsidR="004F2433" w:rsidRPr="008D2D86" w:rsidRDefault="00D7666E" w:rsidP="008D2D86">
      <w:pPr>
        <w:widowControl w:val="0"/>
        <w:pBdr>
          <w:top w:val="nil"/>
          <w:left w:val="nil"/>
          <w:bottom w:val="nil"/>
          <w:right w:val="nil"/>
          <w:between w:val="nil"/>
        </w:pBdr>
        <w:spacing w:after="60" w:line="276" w:lineRule="auto"/>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La Constitución de la Republica en el artículo 151 establece que la educación es función esencial del Estado para la conservación, el fomento y la difusión de la cultura, la cual deberá proyectar sus beneficios a la sociedad sin discriminación de ninguna Naturaleza; para la cual faculta al poder ejecutivo adoptar las medidas necesarias, mediante leyes y reglamentos que aseguren la efectividad de este derecho. Todas las actividades del Estado y de las entidades públicas y privadas están sujetas a esta disposición.</w:t>
      </w:r>
    </w:p>
    <w:p w:rsidR="004F2433" w:rsidRPr="008D2D86" w:rsidRDefault="00D7666E" w:rsidP="008D2D86">
      <w:pPr>
        <w:widowControl w:val="0"/>
        <w:pBdr>
          <w:top w:val="nil"/>
          <w:left w:val="nil"/>
          <w:bottom w:val="nil"/>
          <w:right w:val="nil"/>
          <w:between w:val="nil"/>
        </w:pBdr>
        <w:spacing w:after="60" w:line="276" w:lineRule="auto"/>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La Secretaría de Educación, como ente rector de la Política Educativa Nacional, autoriza, organiza, dirige y supervisa la educación en los niveles de educación pre básica, básica y media del sistema educativo formal, garantizando el acceso a los servicios educativos de calidad, equidad y transparencia y participación a las niñas, niños, jóvenes, adultos para el bienestar humano integral, que contribuyan al desarrollo económico, científico, tecnológico social y cultural del país.</w:t>
      </w:r>
    </w:p>
    <w:p w:rsidR="004F2433" w:rsidRPr="008D2D86" w:rsidRDefault="00D7666E" w:rsidP="008D2D86">
      <w:pPr>
        <w:widowControl w:val="0"/>
        <w:pBdr>
          <w:top w:val="nil"/>
          <w:left w:val="nil"/>
          <w:bottom w:val="nil"/>
          <w:right w:val="nil"/>
          <w:between w:val="nil"/>
        </w:pBdr>
        <w:spacing w:after="60" w:line="276" w:lineRule="auto"/>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Con la emisión la Ley Fundamental del Educación según decreto 262-2011, se garantiza el derecho humano a la educación y se establece los principios, garantías, fines y lineamientos generales de la educación nacional. Reconoce al educando como titular del derecho y actor principal; establece que el fin primordial de la educación es desarrollo máximo de sus potencialidades y su personalidad; define la estructura del Sistema Nacional de Educación, las atribuciones y obligaciones del Estado, los derechos y las responsabilidades de las personas de la sociedad en la función educadora.</w:t>
      </w:r>
    </w:p>
    <w:p w:rsidR="004F2433" w:rsidRPr="008D2D86" w:rsidRDefault="00D7666E" w:rsidP="008D2D86">
      <w:pPr>
        <w:spacing w:after="60" w:line="276" w:lineRule="auto"/>
        <w:ind w:left="-5" w:right="164"/>
        <w:jc w:val="both"/>
        <w:rPr>
          <w:rFonts w:asciiTheme="majorHAnsi" w:eastAsia="Times New Roman" w:hAnsiTheme="majorHAnsi" w:cs="Times New Roman"/>
          <w:sz w:val="24"/>
          <w:szCs w:val="24"/>
        </w:rPr>
      </w:pPr>
      <w:r w:rsidRPr="008D2D86">
        <w:rPr>
          <w:rFonts w:asciiTheme="majorHAnsi" w:eastAsia="Times New Roman" w:hAnsiTheme="majorHAnsi" w:cs="Times New Roman"/>
          <w:sz w:val="24"/>
          <w:szCs w:val="24"/>
        </w:rPr>
        <w:t xml:space="preserve">En mismo orden normativo se aprueba El PESE el cual define la ruta del desarrollo nacional al 2038 y se  sustenta en la búsqueda de la consolidación de la democracia, la inclusión y el desarrollo equitativo que asegure el bienestar de todos los hondureños.  Para alcanzar la Visión así definida, se concibe a la educación como principal medio de emancipación social, para lo cual se dotará de un sistema educativo eficiente, generador de competencias, capaz de fomentar procesos sostenibles, con flexibilidad y adaptación de las bases curriculares en todos los niveles, lo que permitirá que todos los hondureños puedan acceder a condiciones óptimas de bienestar individual y social. </w:t>
      </w:r>
    </w:p>
    <w:p w:rsidR="004F2433" w:rsidRPr="008D2D86" w:rsidRDefault="00D7666E" w:rsidP="008D2D86">
      <w:pPr>
        <w:spacing w:after="60" w:line="276" w:lineRule="auto"/>
        <w:jc w:val="both"/>
        <w:rPr>
          <w:rFonts w:asciiTheme="majorHAnsi" w:eastAsia="Times New Roman" w:hAnsiTheme="majorHAnsi" w:cs="Times New Roman"/>
          <w:sz w:val="24"/>
          <w:szCs w:val="24"/>
        </w:rPr>
      </w:pPr>
      <w:r w:rsidRPr="008D2D86">
        <w:rPr>
          <w:rFonts w:asciiTheme="majorHAnsi" w:eastAsia="Times New Roman" w:hAnsiTheme="majorHAnsi" w:cs="Times New Roman"/>
          <w:sz w:val="24"/>
          <w:szCs w:val="24"/>
        </w:rPr>
        <w:t xml:space="preserve">En consonancia con el marco legal y los objetivos,  la Secretaría de Educación, establece en su agenda programática que La Gobernabilidad del sistema educativo de Honduras pasa por </w:t>
      </w:r>
      <w:r w:rsidRPr="008D2D86">
        <w:rPr>
          <w:rFonts w:asciiTheme="majorHAnsi" w:eastAsia="Times New Roman" w:hAnsiTheme="majorHAnsi" w:cs="Times New Roman"/>
          <w:sz w:val="24"/>
          <w:szCs w:val="24"/>
        </w:rPr>
        <w:lastRenderedPageBreak/>
        <w:t>la convergencia de todos los sectores en un amplio diálogo nacional que recoge el interés diferenciado de todos y aproxima a las partes en grandes acuerdos en pro del mejoramiento de la calidad educativa de más de dos millones de niños en el país.</w:t>
      </w:r>
    </w:p>
    <w:p w:rsidR="004F2433" w:rsidRPr="008D2D86" w:rsidRDefault="00D7666E" w:rsidP="008D2D86">
      <w:pPr>
        <w:spacing w:after="60" w:line="276" w:lineRule="auto"/>
        <w:jc w:val="both"/>
        <w:rPr>
          <w:rFonts w:asciiTheme="majorHAnsi" w:eastAsia="Times New Roman" w:hAnsiTheme="majorHAnsi" w:cs="Times New Roman"/>
          <w:sz w:val="24"/>
          <w:szCs w:val="24"/>
        </w:rPr>
      </w:pPr>
      <w:r w:rsidRPr="008D2D86">
        <w:rPr>
          <w:rFonts w:asciiTheme="majorHAnsi" w:eastAsia="Times New Roman" w:hAnsiTheme="majorHAnsi" w:cs="Times New Roman"/>
          <w:sz w:val="24"/>
          <w:szCs w:val="24"/>
        </w:rPr>
        <w:t>Los principales interlocutores son los Padres de Familia, Maestros y sus Organizaciones Gremiales, Autoridades Educativas y la Cooperación los cuales tienen el propósito de garantizar  las condiciones habilitantes a todos los sectores, el Despacho Ministerial de Educación, ha facilitado diálogos previos con cada uno de los sectores, estableciendo el acuerdo de instalar mesas técnicas de diálogo para abordar los temas prioritarios de interés nacional. Los Maestros son un segmento clave en la sociedad hondureña por el  impacto de su función educadora de niños y niñas, por ser beneficiados por la ley fundamental de educación y el estatuto del docente y por poseer un liderazgo comunitario ampliamente reconocido.</w:t>
      </w:r>
    </w:p>
    <w:p w:rsidR="004F2433" w:rsidRPr="008D2D86" w:rsidRDefault="00D7666E" w:rsidP="008D2D86">
      <w:pPr>
        <w:spacing w:after="60" w:line="276" w:lineRule="auto"/>
        <w:jc w:val="both"/>
        <w:rPr>
          <w:rFonts w:asciiTheme="majorHAnsi" w:eastAsia="Times New Roman" w:hAnsiTheme="majorHAnsi" w:cs="Times New Roman"/>
          <w:sz w:val="24"/>
          <w:szCs w:val="24"/>
        </w:rPr>
      </w:pPr>
      <w:r w:rsidRPr="008D2D86">
        <w:rPr>
          <w:rFonts w:asciiTheme="majorHAnsi" w:eastAsia="Times New Roman" w:hAnsiTheme="majorHAnsi" w:cs="Times New Roman"/>
          <w:sz w:val="24"/>
          <w:szCs w:val="24"/>
        </w:rPr>
        <w:t xml:space="preserve">Por su condición sui generis, reviste de especial interés  para el Presidente Juan Orlando Hernández y del Ministro de Educación Arnaldo </w:t>
      </w:r>
      <w:proofErr w:type="spellStart"/>
      <w:r w:rsidRPr="008D2D86">
        <w:rPr>
          <w:rFonts w:asciiTheme="majorHAnsi" w:eastAsia="Times New Roman" w:hAnsiTheme="majorHAnsi" w:cs="Times New Roman"/>
          <w:sz w:val="24"/>
          <w:szCs w:val="24"/>
        </w:rPr>
        <w:t>Bueso</w:t>
      </w:r>
      <w:proofErr w:type="spellEnd"/>
      <w:r w:rsidRPr="008D2D86">
        <w:rPr>
          <w:rFonts w:asciiTheme="majorHAnsi" w:eastAsia="Times New Roman" w:hAnsiTheme="majorHAnsi" w:cs="Times New Roman"/>
          <w:sz w:val="24"/>
          <w:szCs w:val="24"/>
        </w:rPr>
        <w:t xml:space="preserve">, acompañar el proceso de construcción del gran pacto nacional por la calidad de la educación basado en los intereses y alcances de todos los actores. </w:t>
      </w:r>
    </w:p>
    <w:p w:rsidR="004F2433" w:rsidRPr="008D2D86" w:rsidRDefault="00D7666E" w:rsidP="008D2D86">
      <w:pPr>
        <w:pBdr>
          <w:top w:val="nil"/>
          <w:left w:val="nil"/>
          <w:bottom w:val="nil"/>
          <w:right w:val="nil"/>
          <w:between w:val="nil"/>
        </w:pBdr>
        <w:spacing w:after="60" w:line="276" w:lineRule="auto"/>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 xml:space="preserve">El gobierno central y la dirigencia magisterial desde el 2011 viene realizando esfuerzos de dialogo para poner fin a la </w:t>
      </w:r>
      <w:hyperlink r:id="rId7">
        <w:r w:rsidRPr="008D2D86">
          <w:rPr>
            <w:rFonts w:asciiTheme="majorHAnsi" w:eastAsia="Times New Roman" w:hAnsiTheme="majorHAnsi" w:cs="Times New Roman"/>
            <w:color w:val="000000"/>
            <w:sz w:val="24"/>
            <w:szCs w:val="24"/>
          </w:rPr>
          <w:t>crisis en el sistema educativo</w:t>
        </w:r>
      </w:hyperlink>
      <w:r w:rsidRPr="008D2D86">
        <w:rPr>
          <w:rFonts w:asciiTheme="majorHAnsi" w:eastAsia="Times New Roman" w:hAnsiTheme="majorHAnsi" w:cs="Times New Roman"/>
          <w:color w:val="000000"/>
          <w:sz w:val="24"/>
          <w:szCs w:val="24"/>
        </w:rPr>
        <w:t xml:space="preserve"> de Honduras. </w:t>
      </w:r>
    </w:p>
    <w:p w:rsidR="004F2433" w:rsidRPr="008D2D86" w:rsidRDefault="00D7666E" w:rsidP="008D2D86">
      <w:pPr>
        <w:pBdr>
          <w:top w:val="nil"/>
          <w:left w:val="nil"/>
          <w:bottom w:val="nil"/>
          <w:right w:val="nil"/>
          <w:between w:val="nil"/>
        </w:pBdr>
        <w:spacing w:after="60" w:line="276" w:lineRule="auto"/>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 xml:space="preserve">En el 2019 tras un inicio de año escolar en el que </w:t>
      </w:r>
      <w:hyperlink r:id="rId8">
        <w:r w:rsidRPr="008D2D86">
          <w:rPr>
            <w:rFonts w:asciiTheme="majorHAnsi" w:eastAsia="Times New Roman" w:hAnsiTheme="majorHAnsi" w:cs="Times New Roman"/>
            <w:color w:val="000000"/>
            <w:sz w:val="24"/>
            <w:szCs w:val="24"/>
          </w:rPr>
          <w:t xml:space="preserve">miles de niños y jóvenes </w:t>
        </w:r>
      </w:hyperlink>
      <w:r w:rsidRPr="008D2D86">
        <w:rPr>
          <w:rFonts w:asciiTheme="majorHAnsi" w:eastAsia="Times New Roman" w:hAnsiTheme="majorHAnsi" w:cs="Times New Roman"/>
          <w:color w:val="000000"/>
          <w:sz w:val="24"/>
          <w:szCs w:val="24"/>
        </w:rPr>
        <w:t xml:space="preserve">llegan a sus centros educativos con esperanza, los diferentes sectores han coincidido que es importante un diálogo honesto y sincero, pero sobre todo resolutivo que aborde los temas como ser: Leyes Educativas, Carrera Docente, INPREMA, Financiamiento del Sistema Educativo, Calidad Educativa, Derechos Humanos y Prioridades. </w:t>
      </w:r>
    </w:p>
    <w:p w:rsidR="004F2433" w:rsidRPr="008D2D86" w:rsidRDefault="00D7666E" w:rsidP="008D2D86">
      <w:pPr>
        <w:spacing w:after="60" w:line="276" w:lineRule="auto"/>
        <w:jc w:val="both"/>
        <w:rPr>
          <w:rFonts w:asciiTheme="majorHAnsi" w:eastAsia="Times New Roman" w:hAnsiTheme="majorHAnsi" w:cs="Times New Roman"/>
          <w:sz w:val="24"/>
          <w:szCs w:val="24"/>
        </w:rPr>
      </w:pPr>
      <w:r w:rsidRPr="008D2D86">
        <w:rPr>
          <w:rFonts w:asciiTheme="majorHAnsi" w:eastAsia="Times New Roman" w:hAnsiTheme="majorHAnsi" w:cs="Times New Roman"/>
          <w:sz w:val="24"/>
          <w:szCs w:val="24"/>
        </w:rPr>
        <w:t>El 08 de febrero 2019 en las instalaciones de INICE,  se lanzó de manera oficial el dialogo nacional con el magisterio de Honduras acordando instalar  mesas técnicas. El 20 de Febrero se desarrolló un segundo encuentro acordando convocar las mesas para nombrar una estructura de coordinación de la mesa, identificar todas las variables de análisis en relación al tema central de la mesa, definir el objetivo de la mesa, establecer las normas de trabajo de la mesa, elaborar el mapa de actores que garantice una integración amplia en la mesa, desarrollar la metodología para el abordaje de cada uno de los temas, recoger acuerdos que garanticen el desarrollo y las condiciones habilitantes que garanticen el éxito del proceso.</w:t>
      </w:r>
    </w:p>
    <w:p w:rsidR="004F2433" w:rsidRPr="008D2D86" w:rsidRDefault="00D7666E" w:rsidP="008D2D86">
      <w:pPr>
        <w:spacing w:after="60" w:line="276" w:lineRule="auto"/>
        <w:jc w:val="both"/>
        <w:rPr>
          <w:rFonts w:asciiTheme="majorHAnsi" w:eastAsia="Times New Roman" w:hAnsiTheme="majorHAnsi" w:cs="Times New Roman"/>
          <w:sz w:val="24"/>
          <w:szCs w:val="24"/>
        </w:rPr>
      </w:pPr>
      <w:r w:rsidRPr="008D2D86">
        <w:rPr>
          <w:rFonts w:asciiTheme="majorHAnsi" w:eastAsia="Times New Roman" w:hAnsiTheme="majorHAnsi" w:cs="Times New Roman"/>
          <w:sz w:val="24"/>
          <w:szCs w:val="24"/>
        </w:rPr>
        <w:t>Considerando los aspectos antes descritos, el 15 de Marzo en el local que Ocupa Sociedades Bíblicas, se estructuran en un primer momento las mesas Técnicas y se recomendó contratar los servicios de un consultor que dé seguimiento,  monitoreo, elabore  propuestas con las mesas técnicas de dialogo con los colegios magisteriales y elabore un informe final del dialogo en los temas.</w:t>
      </w:r>
    </w:p>
    <w:p w:rsidR="004F2433" w:rsidRPr="008D2D86" w:rsidRDefault="004F2433" w:rsidP="008D2D86">
      <w:pPr>
        <w:spacing w:after="60" w:line="276" w:lineRule="auto"/>
        <w:jc w:val="both"/>
        <w:rPr>
          <w:rFonts w:asciiTheme="majorHAnsi" w:eastAsia="Times New Roman" w:hAnsiTheme="majorHAnsi" w:cs="Times New Roman"/>
          <w:sz w:val="24"/>
          <w:szCs w:val="24"/>
        </w:rPr>
      </w:pPr>
    </w:p>
    <w:p w:rsidR="004F2433" w:rsidRPr="008D2D86" w:rsidRDefault="00D7666E" w:rsidP="008D2D86">
      <w:pPr>
        <w:spacing w:after="60" w:line="276" w:lineRule="auto"/>
        <w:jc w:val="both"/>
        <w:rPr>
          <w:rFonts w:asciiTheme="majorHAnsi" w:eastAsia="Times New Roman" w:hAnsiTheme="majorHAnsi" w:cs="Times New Roman"/>
          <w:sz w:val="24"/>
          <w:szCs w:val="24"/>
        </w:rPr>
      </w:pPr>
      <w:r w:rsidRPr="008D2D86">
        <w:rPr>
          <w:rFonts w:asciiTheme="majorHAnsi" w:eastAsia="Times New Roman" w:hAnsiTheme="majorHAnsi" w:cs="Times New Roman"/>
          <w:sz w:val="24"/>
          <w:szCs w:val="24"/>
        </w:rPr>
        <w:t>En el mes de Junio se generó alta conflictividad social en el país teniendo como protagonistas a los gremios magisteriales y de la salud, se decidió instalar mesas de diálogo para resolver el conflicto lo que ha demandado la necesidad de contratar un especialista en mediación y resolución de conflictos que contribuya con los equipos en el gerenciamiento del proceso.</w:t>
      </w:r>
    </w:p>
    <w:p w:rsidR="004F2433" w:rsidRPr="008D2D86" w:rsidRDefault="004F2433" w:rsidP="008D2D86">
      <w:pPr>
        <w:spacing w:after="60" w:line="276" w:lineRule="auto"/>
        <w:jc w:val="both"/>
        <w:rPr>
          <w:rFonts w:asciiTheme="majorHAnsi" w:eastAsia="Times New Roman" w:hAnsiTheme="majorHAnsi" w:cs="Times New Roman"/>
          <w:sz w:val="24"/>
          <w:szCs w:val="24"/>
        </w:rPr>
      </w:pPr>
    </w:p>
    <w:p w:rsidR="004F2433" w:rsidRPr="008D2D86" w:rsidRDefault="00D7666E" w:rsidP="008D2D86">
      <w:pPr>
        <w:pBdr>
          <w:top w:val="nil"/>
          <w:left w:val="nil"/>
          <w:bottom w:val="nil"/>
          <w:right w:val="nil"/>
          <w:between w:val="nil"/>
        </w:pBdr>
        <w:spacing w:after="60" w:line="276" w:lineRule="auto"/>
        <w:jc w:val="both"/>
        <w:rPr>
          <w:rFonts w:asciiTheme="majorHAnsi" w:eastAsia="Times New Roman" w:hAnsiTheme="majorHAnsi" w:cs="Times New Roman"/>
          <w:b/>
          <w:color w:val="000000"/>
          <w:sz w:val="24"/>
          <w:szCs w:val="24"/>
        </w:rPr>
      </w:pPr>
      <w:r w:rsidRPr="008D2D86">
        <w:rPr>
          <w:rFonts w:asciiTheme="majorHAnsi" w:eastAsia="Times New Roman" w:hAnsiTheme="majorHAnsi" w:cs="Times New Roman"/>
          <w:b/>
          <w:color w:val="000000"/>
          <w:sz w:val="24"/>
          <w:szCs w:val="24"/>
        </w:rPr>
        <w:t>II. OBJETIVO GENERAL</w:t>
      </w:r>
    </w:p>
    <w:p w:rsidR="004F2433" w:rsidRPr="008D2D86" w:rsidRDefault="00D7666E" w:rsidP="008D2D86">
      <w:pPr>
        <w:spacing w:after="60" w:line="276" w:lineRule="auto"/>
        <w:jc w:val="both"/>
        <w:rPr>
          <w:rFonts w:asciiTheme="majorHAnsi" w:eastAsia="Times New Roman" w:hAnsiTheme="majorHAnsi" w:cs="Times New Roman"/>
          <w:sz w:val="24"/>
          <w:szCs w:val="24"/>
        </w:rPr>
      </w:pPr>
      <w:proofErr w:type="spellStart"/>
      <w:r w:rsidRPr="008D2D86">
        <w:rPr>
          <w:rFonts w:asciiTheme="majorHAnsi" w:eastAsia="Times New Roman" w:hAnsiTheme="majorHAnsi" w:cs="Times New Roman"/>
          <w:sz w:val="24"/>
          <w:szCs w:val="24"/>
        </w:rPr>
        <w:t>Gerenciar</w:t>
      </w:r>
      <w:proofErr w:type="spellEnd"/>
      <w:r w:rsidRPr="008D2D86">
        <w:rPr>
          <w:rFonts w:asciiTheme="majorHAnsi" w:eastAsia="Times New Roman" w:hAnsiTheme="majorHAnsi" w:cs="Times New Roman"/>
          <w:sz w:val="24"/>
          <w:szCs w:val="24"/>
        </w:rPr>
        <w:t xml:space="preserve"> el proceso de dialogo estructurando una agenda estratégica que brinde soporte estratégico y técnico a los equipos, proveer el  seguimiento, monitoreo y acompañamiento para la generación de  propuestas e informes semanales en base a las iniciativas de las mesas y su canalización al más alto nivel del Despacho en la Secretaria de Educación para la toma de decisiones.</w:t>
      </w:r>
    </w:p>
    <w:p w:rsidR="004F2433" w:rsidRPr="008D2D86" w:rsidRDefault="00D7666E" w:rsidP="008D2D86">
      <w:pPr>
        <w:spacing w:after="60" w:line="276" w:lineRule="auto"/>
        <w:jc w:val="both"/>
        <w:rPr>
          <w:rFonts w:asciiTheme="majorHAnsi" w:eastAsia="Times New Roman" w:hAnsiTheme="majorHAnsi" w:cs="Times New Roman"/>
          <w:sz w:val="24"/>
          <w:szCs w:val="24"/>
        </w:rPr>
      </w:pPr>
      <w:r w:rsidRPr="008D2D86">
        <w:rPr>
          <w:rFonts w:asciiTheme="majorHAnsi" w:eastAsia="Times New Roman" w:hAnsiTheme="majorHAnsi" w:cs="Times New Roman"/>
          <w:sz w:val="24"/>
          <w:szCs w:val="24"/>
        </w:rPr>
        <w:t xml:space="preserve"> </w:t>
      </w:r>
    </w:p>
    <w:p w:rsidR="004F2433" w:rsidRPr="008D2D86" w:rsidRDefault="00D7666E" w:rsidP="008D2D86">
      <w:pPr>
        <w:widowControl w:val="0"/>
        <w:pBdr>
          <w:top w:val="nil"/>
          <w:left w:val="nil"/>
          <w:bottom w:val="nil"/>
          <w:right w:val="nil"/>
          <w:between w:val="nil"/>
        </w:pBdr>
        <w:spacing w:after="60" w:line="276" w:lineRule="auto"/>
        <w:ind w:right="676"/>
        <w:jc w:val="both"/>
        <w:rPr>
          <w:rFonts w:asciiTheme="majorHAnsi" w:eastAsia="Times New Roman" w:hAnsiTheme="majorHAnsi" w:cs="Times New Roman"/>
          <w:b/>
          <w:color w:val="000000"/>
          <w:sz w:val="24"/>
          <w:szCs w:val="24"/>
        </w:rPr>
      </w:pPr>
      <w:r w:rsidRPr="008D2D86">
        <w:rPr>
          <w:rFonts w:asciiTheme="majorHAnsi" w:eastAsia="Times New Roman" w:hAnsiTheme="majorHAnsi" w:cs="Times New Roman"/>
          <w:b/>
          <w:color w:val="000000"/>
          <w:sz w:val="24"/>
          <w:szCs w:val="24"/>
        </w:rPr>
        <w:t>III. ALCANCES Y RESPONSABILIDADES DE LA CONSULTORIA:</w:t>
      </w:r>
    </w:p>
    <w:p w:rsidR="004F2433" w:rsidRPr="008D2D86" w:rsidRDefault="00D7666E" w:rsidP="008D2D86">
      <w:pPr>
        <w:numPr>
          <w:ilvl w:val="0"/>
          <w:numId w:val="10"/>
        </w:numPr>
        <w:pBdr>
          <w:top w:val="nil"/>
          <w:left w:val="nil"/>
          <w:bottom w:val="nil"/>
          <w:right w:val="nil"/>
          <w:between w:val="nil"/>
        </w:pBdr>
        <w:spacing w:after="60" w:line="276" w:lineRule="auto"/>
        <w:ind w:left="360"/>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Estructurar la agenda de dialogo en sus fases de Preparación, planificación, interacción, evaluación y generalización del proceso de dialogo de las mesas técnicas, monitoreo del</w:t>
      </w:r>
      <w:r w:rsidRPr="008D2D86">
        <w:rPr>
          <w:rFonts w:asciiTheme="majorHAnsi" w:eastAsia="Times New Roman" w:hAnsiTheme="majorHAnsi" w:cs="Times New Roman"/>
          <w:b/>
          <w:color w:val="000000"/>
          <w:sz w:val="24"/>
          <w:szCs w:val="24"/>
        </w:rPr>
        <w:t xml:space="preserve"> </w:t>
      </w:r>
      <w:r w:rsidRPr="008D2D86">
        <w:rPr>
          <w:rFonts w:asciiTheme="majorHAnsi" w:eastAsia="Times New Roman" w:hAnsiTheme="majorHAnsi" w:cs="Times New Roman"/>
          <w:color w:val="000000"/>
          <w:sz w:val="24"/>
          <w:szCs w:val="24"/>
        </w:rPr>
        <w:t xml:space="preserve">calendario de reuniones programadas por las mesas Técnicas, confirmar  la fecha y lugar de sesiones, establecer el mecanismo para asegurar la participación en la mesa de representantes por cada organización magisterial, de la SEDUC(propietarios y suplentes) y de los diferentes sectores sociales, recopilar las ayudas memoria de las reuniones, compartir las ayudas memorias con el asesor especialista en aspectos técnicos del Despacho del Ministro de Educación, Presentar informe mensual en la plenaria de las mesas con presencia de las máximas autoridades de la SEDUC y los presidentes de los Colegios Magisteriales. </w:t>
      </w:r>
    </w:p>
    <w:p w:rsidR="004F2433" w:rsidRPr="008D2D86" w:rsidRDefault="00D7666E" w:rsidP="008D2D86">
      <w:pPr>
        <w:widowControl w:val="0"/>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 xml:space="preserve">Fortalecer capacidades al equipo Técnico facilitador de las mesas de dialogo delegado por el Despacho del Ministro y los representantes en las mesas de dialogo como a fin de desarrollar capacidades. </w:t>
      </w:r>
    </w:p>
    <w:p w:rsidR="004F2433" w:rsidRPr="008D2D86" w:rsidRDefault="00D7666E" w:rsidP="008D2D86">
      <w:pPr>
        <w:widowControl w:val="0"/>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Facilitar Soporte Estratégico en el proceso de debate en las mesas temáticas, con la institucionalidad del país, las autoridades y  la sociedad en general.</w:t>
      </w:r>
    </w:p>
    <w:p w:rsidR="004F2433" w:rsidRPr="008D2D86" w:rsidRDefault="00D7666E" w:rsidP="008D2D86">
      <w:pPr>
        <w:widowControl w:val="0"/>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Monitoreo de los principales acuerdos de cada una de las mesas, establecer una jerarquía de los acuerdos para toma de decisiones por nivel de autoridad dentro de la Secretaria de Educación y los que tengan trascendencia a nivel del Despacho de la Presidencia, Consejo de Ministros y Congreso.</w:t>
      </w:r>
    </w:p>
    <w:p w:rsidR="004F2433" w:rsidRPr="008D2D86" w:rsidRDefault="00D7666E" w:rsidP="008D2D86">
      <w:pPr>
        <w:widowControl w:val="0"/>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Compilar, sintetizar y elaborar reportes de avances en función de los temas y agenda estratégica de la Secretaria de Educación.</w:t>
      </w:r>
    </w:p>
    <w:p w:rsidR="004F2433" w:rsidRPr="008D2D86" w:rsidRDefault="00D7666E" w:rsidP="008D2D86">
      <w:pPr>
        <w:widowControl w:val="0"/>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 xml:space="preserve">Generación de propuestas en base a los acuerdos de las mesas estructurándolas </w:t>
      </w:r>
      <w:r w:rsidRPr="008D2D86">
        <w:rPr>
          <w:rFonts w:asciiTheme="majorHAnsi" w:eastAsia="Times New Roman" w:hAnsiTheme="majorHAnsi" w:cs="Times New Roman"/>
          <w:color w:val="000000"/>
          <w:sz w:val="24"/>
          <w:szCs w:val="24"/>
        </w:rPr>
        <w:lastRenderedPageBreak/>
        <w:t>según su alcance en estructuras de oficios para emisión del Ministro, elaboración, reforma y/o derogación de iniciativas por las instancias competentes.</w:t>
      </w:r>
    </w:p>
    <w:p w:rsidR="004F2433" w:rsidRPr="008D2D86" w:rsidRDefault="00D7666E" w:rsidP="008D2D86">
      <w:pPr>
        <w:widowControl w:val="0"/>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Elaborar el Informe final que sintetice los resultados y la experiencia del proceso de dialogo durante el periodo del dialogo.</w:t>
      </w:r>
    </w:p>
    <w:p w:rsidR="004F2433" w:rsidRPr="008D2D86" w:rsidRDefault="004F2433" w:rsidP="008D2D86">
      <w:pPr>
        <w:widowControl w:val="0"/>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p>
    <w:p w:rsidR="004F2433" w:rsidRPr="008D2D86" w:rsidRDefault="00D7666E" w:rsidP="008D2D86">
      <w:pPr>
        <w:widowControl w:val="0"/>
        <w:pBdr>
          <w:top w:val="nil"/>
          <w:left w:val="nil"/>
          <w:bottom w:val="nil"/>
          <w:right w:val="nil"/>
          <w:between w:val="nil"/>
        </w:pBdr>
        <w:spacing w:after="60" w:line="276" w:lineRule="auto"/>
        <w:ind w:right="676"/>
        <w:jc w:val="both"/>
        <w:rPr>
          <w:rFonts w:asciiTheme="majorHAnsi" w:eastAsia="Times New Roman" w:hAnsiTheme="majorHAnsi" w:cs="Times New Roman"/>
          <w:b/>
          <w:color w:val="000000"/>
          <w:sz w:val="24"/>
          <w:szCs w:val="24"/>
        </w:rPr>
      </w:pPr>
      <w:r w:rsidRPr="008D2D86">
        <w:rPr>
          <w:rFonts w:asciiTheme="majorHAnsi" w:eastAsia="Times New Roman" w:hAnsiTheme="majorHAnsi" w:cs="Times New Roman"/>
          <w:b/>
          <w:color w:val="000000"/>
          <w:sz w:val="24"/>
          <w:szCs w:val="24"/>
        </w:rPr>
        <w:t>IV.- ACTIVIDADES A DESARROLLAR</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423"/>
      </w:tblGrid>
      <w:tr w:rsidR="004F2433" w:rsidRPr="008D2D86">
        <w:tc>
          <w:tcPr>
            <w:tcW w:w="2405" w:type="dxa"/>
          </w:tcPr>
          <w:p w:rsidR="004F2433" w:rsidRPr="008D2D86" w:rsidRDefault="00D7666E" w:rsidP="008D2D86">
            <w:pPr>
              <w:widowControl w:val="0"/>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Proceso</w:t>
            </w:r>
          </w:p>
        </w:tc>
        <w:tc>
          <w:tcPr>
            <w:tcW w:w="6423" w:type="dxa"/>
          </w:tcPr>
          <w:p w:rsidR="004F2433" w:rsidRPr="008D2D86" w:rsidRDefault="00D7666E" w:rsidP="008D2D86">
            <w:pPr>
              <w:widowControl w:val="0"/>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Actividades</w:t>
            </w:r>
          </w:p>
        </w:tc>
      </w:tr>
      <w:tr w:rsidR="004F2433" w:rsidRPr="008D2D86">
        <w:tc>
          <w:tcPr>
            <w:tcW w:w="2405" w:type="dxa"/>
          </w:tcPr>
          <w:p w:rsidR="004F2433" w:rsidRPr="008D2D86" w:rsidRDefault="00D7666E" w:rsidP="008D2D86">
            <w:pPr>
              <w:widowControl w:val="0"/>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Seguimiento al proceso de sesión y toma de decisiones de las mesas</w:t>
            </w:r>
          </w:p>
        </w:tc>
        <w:tc>
          <w:tcPr>
            <w:tcW w:w="6423" w:type="dxa"/>
          </w:tcPr>
          <w:p w:rsidR="004F2433" w:rsidRPr="008D2D86" w:rsidRDefault="00D7666E" w:rsidP="008D2D86">
            <w:pPr>
              <w:widowControl w:val="0"/>
              <w:numPr>
                <w:ilvl w:val="0"/>
                <w:numId w:val="1"/>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Elaborar el calendario de reuniones semanales de  las mesas Técnicas.</w:t>
            </w:r>
          </w:p>
          <w:p w:rsidR="004F2433" w:rsidRPr="008D2D86" w:rsidRDefault="00D7666E" w:rsidP="008D2D86">
            <w:pPr>
              <w:widowControl w:val="0"/>
              <w:numPr>
                <w:ilvl w:val="0"/>
                <w:numId w:val="1"/>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Confirmar  la fecha y lugar de sesiones de las mesas y asegurar las condiciones logísticas y técnicas para el desarrollo de las sesiones.</w:t>
            </w:r>
          </w:p>
          <w:p w:rsidR="004F2433" w:rsidRPr="008D2D86" w:rsidRDefault="00D7666E" w:rsidP="008D2D86">
            <w:pPr>
              <w:widowControl w:val="0"/>
              <w:numPr>
                <w:ilvl w:val="0"/>
                <w:numId w:val="1"/>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Confirmar  la participación en la mesa de representantes por cada organización magisterial y de la SEDUC (propietarios y suplentes) y de los diferentes sectores sociales integrados en las mesas técnicas.</w:t>
            </w:r>
          </w:p>
          <w:p w:rsidR="004F2433" w:rsidRPr="008D2D86" w:rsidRDefault="00D7666E" w:rsidP="008D2D86">
            <w:pPr>
              <w:widowControl w:val="0"/>
              <w:numPr>
                <w:ilvl w:val="0"/>
                <w:numId w:val="1"/>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Recopilar las ayudas memoria de las reuniones.</w:t>
            </w:r>
          </w:p>
          <w:p w:rsidR="004F2433" w:rsidRPr="008D2D86" w:rsidRDefault="00D7666E" w:rsidP="008D2D86">
            <w:pPr>
              <w:widowControl w:val="0"/>
              <w:numPr>
                <w:ilvl w:val="0"/>
                <w:numId w:val="1"/>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Compartir resumen ejecutivo de las ayudas memorias con el asesor especialista en aspectos técnicos del Despacho del Ministro de Educación.</w:t>
            </w:r>
          </w:p>
          <w:p w:rsidR="004F2433" w:rsidRPr="008D2D86" w:rsidRDefault="00D7666E" w:rsidP="008D2D86">
            <w:pPr>
              <w:widowControl w:val="0"/>
              <w:numPr>
                <w:ilvl w:val="0"/>
                <w:numId w:val="1"/>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Organizar evento de  Presentación semanal de informe de las mesas con presencia de las máximas autoridades de la SEDUC y los presidentes de los Colegios Magisteriales y la Comisión de Transformación.</w:t>
            </w:r>
          </w:p>
        </w:tc>
      </w:tr>
      <w:tr w:rsidR="004F2433" w:rsidRPr="008D2D86">
        <w:tc>
          <w:tcPr>
            <w:tcW w:w="2405" w:type="dxa"/>
          </w:tcPr>
          <w:p w:rsidR="004F2433" w:rsidRPr="008D2D86" w:rsidRDefault="00D7666E" w:rsidP="008D2D86">
            <w:pPr>
              <w:widowControl w:val="0"/>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 xml:space="preserve">Monitoreo de los acuerdos generados producto del </w:t>
            </w:r>
            <w:r w:rsidR="008D2D86" w:rsidRPr="008D2D86">
              <w:rPr>
                <w:rFonts w:asciiTheme="majorHAnsi" w:eastAsia="Times New Roman" w:hAnsiTheme="majorHAnsi" w:cs="Times New Roman"/>
                <w:color w:val="000000"/>
                <w:sz w:val="24"/>
                <w:szCs w:val="24"/>
              </w:rPr>
              <w:t>diálogo</w:t>
            </w:r>
            <w:r w:rsidRPr="008D2D86">
              <w:rPr>
                <w:rFonts w:asciiTheme="majorHAnsi" w:eastAsia="Times New Roman" w:hAnsiTheme="majorHAnsi" w:cs="Times New Roman"/>
                <w:color w:val="000000"/>
                <w:sz w:val="24"/>
                <w:szCs w:val="24"/>
              </w:rPr>
              <w:t xml:space="preserve"> y consenso en las mesas</w:t>
            </w:r>
          </w:p>
        </w:tc>
        <w:tc>
          <w:tcPr>
            <w:tcW w:w="6423" w:type="dxa"/>
          </w:tcPr>
          <w:p w:rsidR="004F2433" w:rsidRPr="008D2D86" w:rsidRDefault="00D7666E" w:rsidP="008D2D86">
            <w:pPr>
              <w:widowControl w:val="0"/>
              <w:numPr>
                <w:ilvl w:val="0"/>
                <w:numId w:val="9"/>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Monitorear el cumplimiento de acuerdos de las mesas</w:t>
            </w:r>
          </w:p>
          <w:p w:rsidR="004F2433" w:rsidRPr="008D2D86" w:rsidRDefault="00D7666E" w:rsidP="008D2D86">
            <w:pPr>
              <w:widowControl w:val="0"/>
              <w:numPr>
                <w:ilvl w:val="0"/>
                <w:numId w:val="9"/>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Elaborar un resumen semanal de los  acuerdos total y parcial de cada una de las mesas.</w:t>
            </w:r>
          </w:p>
          <w:p w:rsidR="004F2433" w:rsidRPr="008D2D86" w:rsidRDefault="00D7666E" w:rsidP="008D2D86">
            <w:pPr>
              <w:widowControl w:val="0"/>
              <w:numPr>
                <w:ilvl w:val="0"/>
                <w:numId w:val="9"/>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Establecer una jerarquía de los acuerdos para toma de decisiones por nivel de autoridad dentro de la Secretaria de Educación y los que tengan trascendencia a nivel del Despacho de la Presidencia, Consejo de Ministros y Congreso.</w:t>
            </w:r>
          </w:p>
        </w:tc>
      </w:tr>
      <w:tr w:rsidR="004F2433" w:rsidRPr="008D2D86">
        <w:tc>
          <w:tcPr>
            <w:tcW w:w="2405" w:type="dxa"/>
          </w:tcPr>
          <w:p w:rsidR="004F2433" w:rsidRPr="008D2D86" w:rsidRDefault="00D7666E" w:rsidP="008D2D86">
            <w:pPr>
              <w:widowControl w:val="0"/>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 xml:space="preserve">Acompañamiento Técnico a </w:t>
            </w:r>
            <w:r w:rsidRPr="008D2D86">
              <w:rPr>
                <w:rFonts w:asciiTheme="majorHAnsi" w:eastAsia="Times New Roman" w:hAnsiTheme="majorHAnsi" w:cs="Times New Roman"/>
                <w:color w:val="000000"/>
                <w:sz w:val="24"/>
                <w:szCs w:val="24"/>
              </w:rPr>
              <w:lastRenderedPageBreak/>
              <w:t>los equipos de coordinación de las mesas y de facilitación de la SEDUC</w:t>
            </w:r>
          </w:p>
        </w:tc>
        <w:tc>
          <w:tcPr>
            <w:tcW w:w="6423" w:type="dxa"/>
          </w:tcPr>
          <w:p w:rsidR="004F2433" w:rsidRPr="008D2D86" w:rsidRDefault="00D7666E" w:rsidP="008D2D86">
            <w:pPr>
              <w:widowControl w:val="0"/>
              <w:numPr>
                <w:ilvl w:val="0"/>
                <w:numId w:val="4"/>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lastRenderedPageBreak/>
              <w:t xml:space="preserve">Desarrollar talleres de capacitación en mediación y resolución de conflictos sociales al equipo Técnico </w:t>
            </w:r>
            <w:r w:rsidRPr="008D2D86">
              <w:rPr>
                <w:rFonts w:asciiTheme="majorHAnsi" w:eastAsia="Times New Roman" w:hAnsiTheme="majorHAnsi" w:cs="Times New Roman"/>
                <w:color w:val="000000"/>
                <w:sz w:val="24"/>
                <w:szCs w:val="24"/>
              </w:rPr>
              <w:lastRenderedPageBreak/>
              <w:t>facilitador de las mesas de dialogo delegado por el Despacho del Ministro de Educación.</w:t>
            </w:r>
          </w:p>
          <w:p w:rsidR="004F2433" w:rsidRPr="008D2D86" w:rsidRDefault="00D7666E" w:rsidP="008D2D86">
            <w:pPr>
              <w:widowControl w:val="0"/>
              <w:numPr>
                <w:ilvl w:val="0"/>
                <w:numId w:val="4"/>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Participar en el desarrollo de las sesiones de las mesas</w:t>
            </w:r>
          </w:p>
          <w:p w:rsidR="004F2433" w:rsidRPr="008D2D86" w:rsidRDefault="00D7666E" w:rsidP="008D2D86">
            <w:pPr>
              <w:widowControl w:val="0"/>
              <w:numPr>
                <w:ilvl w:val="0"/>
                <w:numId w:val="4"/>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Facilitar la incorporación de nuevos interlocutores con base técnica científica en el desarrollo de las agendas de las sesiones de las mesas.</w:t>
            </w:r>
          </w:p>
          <w:p w:rsidR="004F2433" w:rsidRPr="008D2D86" w:rsidRDefault="00D7666E" w:rsidP="008D2D86">
            <w:pPr>
              <w:widowControl w:val="0"/>
              <w:numPr>
                <w:ilvl w:val="0"/>
                <w:numId w:val="4"/>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Identificar nudos críticos en el abordaje de los temas.</w:t>
            </w:r>
          </w:p>
          <w:p w:rsidR="004F2433" w:rsidRPr="008D2D86" w:rsidRDefault="00D7666E" w:rsidP="008D2D86">
            <w:pPr>
              <w:widowControl w:val="0"/>
              <w:numPr>
                <w:ilvl w:val="0"/>
                <w:numId w:val="4"/>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Proponer esquemas de abordaje para la solución de los problemas.</w:t>
            </w:r>
          </w:p>
        </w:tc>
      </w:tr>
      <w:tr w:rsidR="004F2433" w:rsidRPr="008D2D86">
        <w:tc>
          <w:tcPr>
            <w:tcW w:w="2405" w:type="dxa"/>
          </w:tcPr>
          <w:p w:rsidR="004F2433" w:rsidRPr="008D2D86" w:rsidRDefault="00D7666E" w:rsidP="008D2D86">
            <w:pPr>
              <w:widowControl w:val="0"/>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lastRenderedPageBreak/>
              <w:t>Generación de propuestas para la toma de decisiones por la SEDUC</w:t>
            </w:r>
          </w:p>
        </w:tc>
        <w:tc>
          <w:tcPr>
            <w:tcW w:w="6423" w:type="dxa"/>
          </w:tcPr>
          <w:p w:rsidR="004F2433" w:rsidRPr="008D2D86" w:rsidRDefault="00D7666E" w:rsidP="008D2D86">
            <w:pPr>
              <w:widowControl w:val="0"/>
              <w:numPr>
                <w:ilvl w:val="0"/>
                <w:numId w:val="2"/>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Elaborar las propuestas técnicas por cada acuerdo de cada una de las mesas</w:t>
            </w:r>
          </w:p>
          <w:p w:rsidR="004F2433" w:rsidRPr="008D2D86" w:rsidRDefault="00D7666E" w:rsidP="008D2D86">
            <w:pPr>
              <w:widowControl w:val="0"/>
              <w:numPr>
                <w:ilvl w:val="0"/>
                <w:numId w:val="2"/>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Organizar la presentación de las propuestas</w:t>
            </w:r>
          </w:p>
          <w:p w:rsidR="004F2433" w:rsidRPr="008D2D86" w:rsidRDefault="00D7666E" w:rsidP="008D2D86">
            <w:pPr>
              <w:widowControl w:val="0"/>
              <w:numPr>
                <w:ilvl w:val="0"/>
                <w:numId w:val="2"/>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Facilitar Soporte Estratégico en el proceso de socialización de los avances de las mesas temáticas a las autoridades y a la sociedad en general.</w:t>
            </w:r>
          </w:p>
          <w:p w:rsidR="004F2433" w:rsidRPr="008D2D86" w:rsidRDefault="00D7666E" w:rsidP="008D2D86">
            <w:pPr>
              <w:widowControl w:val="0"/>
              <w:numPr>
                <w:ilvl w:val="0"/>
                <w:numId w:val="2"/>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Generación de propuestas en base a los acuerdos de las mesas estructurándolas según su alcance en estructuras de oficios para emisión del Ministro, elaboración, reforma y/o derogación de iniciativas por las instancias competentes.</w:t>
            </w:r>
          </w:p>
        </w:tc>
      </w:tr>
      <w:tr w:rsidR="004F2433" w:rsidRPr="008D2D86">
        <w:tc>
          <w:tcPr>
            <w:tcW w:w="2405" w:type="dxa"/>
          </w:tcPr>
          <w:p w:rsidR="004F2433" w:rsidRPr="008D2D86" w:rsidRDefault="00D7666E" w:rsidP="008D2D86">
            <w:pPr>
              <w:widowControl w:val="0"/>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 xml:space="preserve">Sistematizar la experiencia  del proceso de dialogo. </w:t>
            </w:r>
          </w:p>
        </w:tc>
        <w:tc>
          <w:tcPr>
            <w:tcW w:w="6423" w:type="dxa"/>
          </w:tcPr>
          <w:p w:rsidR="004F2433" w:rsidRPr="008D2D86" w:rsidRDefault="00D7666E" w:rsidP="008D2D86">
            <w:pPr>
              <w:widowControl w:val="0"/>
              <w:numPr>
                <w:ilvl w:val="0"/>
                <w:numId w:val="6"/>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Ordenar la documentación que permita de manera prospectiva sistematizar la experiencia.</w:t>
            </w:r>
          </w:p>
          <w:p w:rsidR="004F2433" w:rsidRPr="008D2D86" w:rsidRDefault="00D7666E" w:rsidP="008D2D86">
            <w:pPr>
              <w:widowControl w:val="0"/>
              <w:numPr>
                <w:ilvl w:val="0"/>
                <w:numId w:val="6"/>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Realizar ejercicios de explicitación de la experiencia vivida con representantes de las mesas técnicas.</w:t>
            </w:r>
          </w:p>
          <w:p w:rsidR="004F2433" w:rsidRPr="008D2D86" w:rsidRDefault="00D7666E" w:rsidP="008D2D86">
            <w:pPr>
              <w:widowControl w:val="0"/>
              <w:numPr>
                <w:ilvl w:val="0"/>
                <w:numId w:val="6"/>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Elaborar el Informe Técnico que sistematiza la experiencia del proceso de dialogo de las 5 mesas Técnicas.</w:t>
            </w:r>
          </w:p>
          <w:p w:rsidR="004F2433" w:rsidRPr="008D2D86" w:rsidRDefault="00D7666E" w:rsidP="008D2D86">
            <w:pPr>
              <w:widowControl w:val="0"/>
              <w:numPr>
                <w:ilvl w:val="0"/>
                <w:numId w:val="6"/>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Incorporar observaciones al informe técnico facilitadas por especialistas de la SEDUC.</w:t>
            </w:r>
          </w:p>
          <w:p w:rsidR="004F2433" w:rsidRPr="008D2D86" w:rsidRDefault="00D7666E" w:rsidP="008D2D86">
            <w:pPr>
              <w:widowControl w:val="0"/>
              <w:numPr>
                <w:ilvl w:val="0"/>
                <w:numId w:val="6"/>
              </w:numPr>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Presentar la versión final del informe (CD)</w:t>
            </w:r>
          </w:p>
        </w:tc>
      </w:tr>
    </w:tbl>
    <w:p w:rsidR="004F2433" w:rsidRPr="008D2D86" w:rsidRDefault="004F2433" w:rsidP="008D2D86">
      <w:pPr>
        <w:widowControl w:val="0"/>
        <w:pBdr>
          <w:top w:val="nil"/>
          <w:left w:val="nil"/>
          <w:bottom w:val="nil"/>
          <w:right w:val="nil"/>
          <w:between w:val="nil"/>
        </w:pBdr>
        <w:spacing w:after="60" w:line="276" w:lineRule="auto"/>
        <w:ind w:right="676"/>
        <w:jc w:val="both"/>
        <w:rPr>
          <w:rFonts w:asciiTheme="majorHAnsi" w:eastAsia="Times New Roman" w:hAnsiTheme="majorHAnsi" w:cs="Times New Roman"/>
          <w:color w:val="000000"/>
          <w:sz w:val="24"/>
          <w:szCs w:val="24"/>
        </w:rPr>
      </w:pPr>
    </w:p>
    <w:p w:rsidR="004F2433" w:rsidRPr="008D2D86" w:rsidRDefault="00D7666E" w:rsidP="008D2D86">
      <w:pPr>
        <w:widowControl w:val="0"/>
        <w:pBdr>
          <w:top w:val="nil"/>
          <w:left w:val="nil"/>
          <w:bottom w:val="nil"/>
          <w:right w:val="nil"/>
          <w:between w:val="nil"/>
        </w:pBdr>
        <w:spacing w:after="60" w:line="276" w:lineRule="auto"/>
        <w:jc w:val="both"/>
        <w:rPr>
          <w:rFonts w:asciiTheme="majorHAnsi" w:eastAsia="Times New Roman" w:hAnsiTheme="majorHAnsi" w:cs="Times New Roman"/>
          <w:b/>
          <w:color w:val="000000"/>
          <w:sz w:val="24"/>
          <w:szCs w:val="24"/>
        </w:rPr>
      </w:pPr>
      <w:r w:rsidRPr="008D2D86">
        <w:rPr>
          <w:rFonts w:asciiTheme="majorHAnsi" w:eastAsia="Times New Roman" w:hAnsiTheme="majorHAnsi" w:cs="Times New Roman"/>
          <w:b/>
          <w:color w:val="000000"/>
          <w:sz w:val="24"/>
          <w:szCs w:val="24"/>
        </w:rPr>
        <w:t>V.- PRODUCTOS ESPERADOS</w:t>
      </w:r>
    </w:p>
    <w:p w:rsidR="004F2433" w:rsidRPr="008D2D86" w:rsidRDefault="00D7666E" w:rsidP="008D2D86">
      <w:pPr>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Elaborados los Lineamientos Estratégicos para el desarrollo del dialogo.</w:t>
      </w:r>
    </w:p>
    <w:p w:rsidR="004F2433" w:rsidRPr="008D2D86" w:rsidRDefault="00D7666E" w:rsidP="008D2D86">
      <w:pPr>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Estructura de la agenda de dialogo y plan en base de las grandes etapas del dialogo.</w:t>
      </w:r>
    </w:p>
    <w:p w:rsidR="004F2433" w:rsidRPr="008D2D86" w:rsidRDefault="00D7666E" w:rsidP="008D2D86">
      <w:pPr>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lastRenderedPageBreak/>
        <w:t>Elaborado el Plan de Capacitación a los equipos del Despacho, a los representantes de la SEDUC  en las mesas de dialogo.</w:t>
      </w:r>
    </w:p>
    <w:p w:rsidR="004F2433" w:rsidRPr="008D2D86" w:rsidRDefault="00D7666E" w:rsidP="008D2D86">
      <w:pPr>
        <w:widowControl w:val="0"/>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 xml:space="preserve">Esquema de Monitoreo y emisión de reportes de las mesas de diálogo y de los equipos de trabajo en las mesas. </w:t>
      </w:r>
    </w:p>
    <w:p w:rsidR="004F2433" w:rsidRPr="008D2D86" w:rsidRDefault="00D7666E" w:rsidP="008D2D86">
      <w:pPr>
        <w:widowControl w:val="0"/>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Elaborados reportes de avance semanal con los principales acuerdos de las mesas.</w:t>
      </w:r>
    </w:p>
    <w:p w:rsidR="004F2433" w:rsidRPr="008D2D86" w:rsidRDefault="00D7666E" w:rsidP="008D2D86">
      <w:pPr>
        <w:widowControl w:val="0"/>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Generación de propuestas y estructurar la forma de presentación al Despacho y al equipo nacional.</w:t>
      </w:r>
    </w:p>
    <w:p w:rsidR="004F2433" w:rsidRPr="008D2D86" w:rsidRDefault="00D7666E" w:rsidP="008D2D86">
      <w:pPr>
        <w:widowControl w:val="0"/>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bookmarkStart w:id="0" w:name="_gjdgxs" w:colFirst="0" w:colLast="0"/>
      <w:bookmarkEnd w:id="0"/>
      <w:r w:rsidRPr="008D2D86">
        <w:rPr>
          <w:rFonts w:asciiTheme="majorHAnsi" w:eastAsia="Times New Roman" w:hAnsiTheme="majorHAnsi" w:cs="Times New Roman"/>
          <w:color w:val="000000"/>
          <w:sz w:val="24"/>
          <w:szCs w:val="24"/>
        </w:rPr>
        <w:t>Diseñar la estrategia de comunicación de los alcances de dialogo.</w:t>
      </w:r>
    </w:p>
    <w:p w:rsidR="004F2433" w:rsidRPr="008D2D86" w:rsidRDefault="00D7666E" w:rsidP="008D2D86">
      <w:pPr>
        <w:widowControl w:val="0"/>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Elaborar el Informe final del proceso de dialogo y sus resultados.</w:t>
      </w:r>
    </w:p>
    <w:p w:rsidR="004F2433" w:rsidRPr="008D2D86" w:rsidRDefault="004F2433" w:rsidP="008D2D86">
      <w:pPr>
        <w:pBdr>
          <w:top w:val="nil"/>
          <w:left w:val="nil"/>
          <w:bottom w:val="nil"/>
          <w:right w:val="nil"/>
          <w:between w:val="nil"/>
        </w:pBdr>
        <w:spacing w:after="60" w:line="276" w:lineRule="auto"/>
        <w:jc w:val="both"/>
        <w:rPr>
          <w:rFonts w:asciiTheme="majorHAnsi" w:eastAsia="Times New Roman" w:hAnsiTheme="majorHAnsi" w:cs="Times New Roman"/>
          <w:color w:val="000000"/>
          <w:sz w:val="24"/>
          <w:szCs w:val="24"/>
        </w:rPr>
      </w:pPr>
    </w:p>
    <w:p w:rsidR="004F2433" w:rsidRPr="008D2D86" w:rsidRDefault="00D7666E" w:rsidP="008D2D86">
      <w:pPr>
        <w:pBdr>
          <w:top w:val="nil"/>
          <w:left w:val="nil"/>
          <w:bottom w:val="nil"/>
          <w:right w:val="nil"/>
          <w:between w:val="nil"/>
        </w:pBdr>
        <w:spacing w:after="60" w:line="276" w:lineRule="auto"/>
        <w:jc w:val="both"/>
        <w:rPr>
          <w:rFonts w:asciiTheme="majorHAnsi" w:eastAsia="Times New Roman" w:hAnsiTheme="majorHAnsi" w:cs="Times New Roman"/>
          <w:b/>
          <w:color w:val="000000"/>
          <w:sz w:val="24"/>
          <w:szCs w:val="24"/>
        </w:rPr>
      </w:pPr>
      <w:r w:rsidRPr="008D2D86">
        <w:rPr>
          <w:rFonts w:asciiTheme="majorHAnsi" w:eastAsia="Times New Roman" w:hAnsiTheme="majorHAnsi" w:cs="Times New Roman"/>
          <w:b/>
          <w:color w:val="000000"/>
          <w:sz w:val="24"/>
          <w:szCs w:val="24"/>
        </w:rPr>
        <w:t>VI. HONORARIOS PROFESIONALES</w:t>
      </w:r>
    </w:p>
    <w:p w:rsidR="004F2433" w:rsidRPr="008D2D86" w:rsidRDefault="00D7666E" w:rsidP="008D2D86">
      <w:pPr>
        <w:tabs>
          <w:tab w:val="left" w:pos="1470"/>
        </w:tabs>
        <w:spacing w:after="60" w:line="276" w:lineRule="auto"/>
        <w:jc w:val="both"/>
        <w:rPr>
          <w:rFonts w:asciiTheme="majorHAnsi" w:eastAsia="Times New Roman" w:hAnsiTheme="majorHAnsi" w:cs="Times New Roman"/>
          <w:sz w:val="24"/>
          <w:szCs w:val="24"/>
        </w:rPr>
      </w:pPr>
      <w:r w:rsidRPr="008D2D86">
        <w:rPr>
          <w:rFonts w:asciiTheme="majorHAnsi" w:eastAsia="Times New Roman" w:hAnsiTheme="majorHAnsi" w:cs="Times New Roman"/>
          <w:sz w:val="24"/>
          <w:szCs w:val="24"/>
        </w:rPr>
        <w:t xml:space="preserve">El monto total de la consultoría es </w:t>
      </w:r>
      <w:r w:rsidR="001274ED">
        <w:rPr>
          <w:rFonts w:asciiTheme="majorHAnsi" w:eastAsia="Times New Roman" w:hAnsiTheme="majorHAnsi" w:cs="Times New Roman"/>
          <w:sz w:val="24"/>
          <w:szCs w:val="24"/>
        </w:rPr>
        <w:t xml:space="preserve">de </w:t>
      </w:r>
      <w:r w:rsidR="001274ED" w:rsidRPr="001274ED">
        <w:rPr>
          <w:rFonts w:asciiTheme="majorHAnsi" w:eastAsia="Times New Roman" w:hAnsiTheme="majorHAnsi" w:cs="Times New Roman"/>
          <w:b/>
          <w:sz w:val="24"/>
          <w:szCs w:val="24"/>
        </w:rPr>
        <w:t>CUATROCIENTOS CINCUENTA MIL LEMPIRAS (LPS. 450,000.00)</w:t>
      </w:r>
      <w:r w:rsidR="001274ED" w:rsidRPr="008D2D86">
        <w:rPr>
          <w:rFonts w:asciiTheme="majorHAnsi" w:eastAsia="Times New Roman" w:hAnsiTheme="majorHAnsi" w:cs="Times New Roman"/>
          <w:sz w:val="24"/>
          <w:szCs w:val="24"/>
        </w:rPr>
        <w:t xml:space="preserve"> </w:t>
      </w:r>
      <w:r w:rsidRPr="008D2D86">
        <w:rPr>
          <w:rFonts w:asciiTheme="majorHAnsi" w:eastAsia="Times New Roman" w:hAnsiTheme="majorHAnsi" w:cs="Times New Roman"/>
          <w:sz w:val="24"/>
          <w:szCs w:val="24"/>
        </w:rPr>
        <w:t xml:space="preserve">contra entrega de los productos establecidos en el numeral V. </w:t>
      </w:r>
    </w:p>
    <w:p w:rsidR="004F2433" w:rsidRDefault="001274ED" w:rsidP="008D2D86">
      <w:pPr>
        <w:pBdr>
          <w:top w:val="nil"/>
          <w:left w:val="nil"/>
          <w:bottom w:val="nil"/>
          <w:right w:val="nil"/>
          <w:between w:val="nil"/>
        </w:pBdr>
        <w:spacing w:after="60" w:line="276" w:lineRule="auto"/>
        <w:jc w:val="both"/>
        <w:rPr>
          <w:rFonts w:asciiTheme="majorHAnsi" w:eastAsia="Times New Roman" w:hAnsiTheme="majorHAnsi" w:cs="Times New Roman"/>
          <w:color w:val="000000"/>
          <w:sz w:val="24"/>
          <w:szCs w:val="24"/>
        </w:rPr>
      </w:pPr>
      <w:r w:rsidRPr="001274ED">
        <w:rPr>
          <w:rFonts w:asciiTheme="majorHAnsi" w:eastAsia="Times New Roman" w:hAnsiTheme="majorHAnsi" w:cs="Times New Roman"/>
          <w:color w:val="000000"/>
          <w:sz w:val="24"/>
          <w:szCs w:val="24"/>
        </w:rPr>
        <w:t xml:space="preserve">El pago </w:t>
      </w:r>
      <w:r>
        <w:rPr>
          <w:rFonts w:asciiTheme="majorHAnsi" w:eastAsia="Times New Roman" w:hAnsiTheme="majorHAnsi" w:cs="Times New Roman"/>
          <w:color w:val="000000"/>
          <w:sz w:val="24"/>
          <w:szCs w:val="24"/>
        </w:rPr>
        <w:t>de la Consultoría se efectuara de la siguiente forma:</w:t>
      </w:r>
    </w:p>
    <w:p w:rsidR="001274ED" w:rsidRDefault="001274ED" w:rsidP="001274ED">
      <w:pPr>
        <w:pStyle w:val="Prrafodelista"/>
        <w:numPr>
          <w:ilvl w:val="0"/>
          <w:numId w:val="16"/>
        </w:numPr>
        <w:pBdr>
          <w:top w:val="nil"/>
          <w:left w:val="nil"/>
          <w:bottom w:val="nil"/>
          <w:right w:val="nil"/>
          <w:between w:val="nil"/>
        </w:pBdr>
        <w:spacing w:after="60" w:line="276" w:lineRule="auto"/>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Pago Inicial equivalente al 20% del valor total de la consultoría por </w:t>
      </w:r>
      <w:r w:rsidR="0083155C" w:rsidRPr="0083155C">
        <w:rPr>
          <w:rFonts w:asciiTheme="majorHAnsi" w:eastAsia="Times New Roman" w:hAnsiTheme="majorHAnsi" w:cs="Times New Roman"/>
          <w:b/>
          <w:color w:val="000000"/>
          <w:sz w:val="24"/>
          <w:szCs w:val="24"/>
        </w:rPr>
        <w:t xml:space="preserve">NOVENTA MIL LEMPIRAS EXACTOS (LPS. 90,000.00) </w:t>
      </w:r>
      <w:r>
        <w:rPr>
          <w:rFonts w:asciiTheme="majorHAnsi" w:eastAsia="Times New Roman" w:hAnsiTheme="majorHAnsi" w:cs="Times New Roman"/>
          <w:color w:val="000000"/>
          <w:sz w:val="24"/>
          <w:szCs w:val="24"/>
        </w:rPr>
        <w:t>contra la entrega del Plan de Trabajo de la implementación del Gerenciamiento del Dialogo Nacional para la mejora de la Calidad Educativa.</w:t>
      </w:r>
      <w:r w:rsidR="0083155C">
        <w:rPr>
          <w:rFonts w:asciiTheme="majorHAnsi" w:eastAsia="Times New Roman" w:hAnsiTheme="majorHAnsi" w:cs="Times New Roman"/>
          <w:color w:val="000000"/>
          <w:sz w:val="24"/>
          <w:szCs w:val="24"/>
        </w:rPr>
        <w:t xml:space="preserve"> </w:t>
      </w:r>
      <w:r w:rsidR="0083155C" w:rsidRPr="0083155C">
        <w:rPr>
          <w:rFonts w:asciiTheme="majorHAnsi" w:eastAsia="Times New Roman" w:hAnsiTheme="majorHAnsi" w:cs="Times New Roman"/>
          <w:b/>
          <w:color w:val="000000"/>
          <w:sz w:val="24"/>
          <w:szCs w:val="24"/>
        </w:rPr>
        <w:t>(fecha máxima de entrega 08/11/2019)</w:t>
      </w:r>
    </w:p>
    <w:p w:rsidR="0083155C" w:rsidRDefault="0083155C" w:rsidP="001274ED">
      <w:pPr>
        <w:pStyle w:val="Prrafodelista"/>
        <w:numPr>
          <w:ilvl w:val="0"/>
          <w:numId w:val="16"/>
        </w:numPr>
        <w:pBdr>
          <w:top w:val="nil"/>
          <w:left w:val="nil"/>
          <w:bottom w:val="nil"/>
          <w:right w:val="nil"/>
          <w:between w:val="nil"/>
        </w:pBdr>
        <w:spacing w:after="60" w:line="276" w:lineRule="auto"/>
        <w:jc w:val="both"/>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Dos (2) pagos de </w:t>
      </w:r>
      <w:r w:rsidRPr="0083155C">
        <w:rPr>
          <w:rFonts w:asciiTheme="majorHAnsi" w:eastAsia="Times New Roman" w:hAnsiTheme="majorHAnsi" w:cs="Times New Roman"/>
          <w:b/>
          <w:color w:val="000000"/>
          <w:sz w:val="24"/>
          <w:szCs w:val="24"/>
        </w:rPr>
        <w:t>CIENTO OCHENTA MIL LEMPIRAS EXACTOS (LPS. 180,000.00)</w:t>
      </w:r>
      <w:r>
        <w:rPr>
          <w:rFonts w:asciiTheme="majorHAnsi" w:eastAsia="Times New Roman" w:hAnsiTheme="majorHAnsi" w:cs="Times New Roman"/>
          <w:color w:val="000000"/>
          <w:sz w:val="24"/>
          <w:szCs w:val="24"/>
        </w:rPr>
        <w:t xml:space="preserve"> cada uno, de acuerdo a la entrega de los siguientes productos:</w:t>
      </w:r>
    </w:p>
    <w:p w:rsidR="0083155C" w:rsidRDefault="0083155C" w:rsidP="0083155C">
      <w:pPr>
        <w:pBdr>
          <w:top w:val="nil"/>
          <w:left w:val="nil"/>
          <w:bottom w:val="nil"/>
          <w:right w:val="nil"/>
          <w:between w:val="nil"/>
        </w:pBdr>
        <w:spacing w:after="60" w:line="276" w:lineRule="auto"/>
        <w:ind w:left="360"/>
        <w:jc w:val="both"/>
        <w:rPr>
          <w:rFonts w:asciiTheme="majorHAnsi" w:eastAsia="Times New Roman" w:hAnsiTheme="majorHAnsi" w:cs="Times New Roman"/>
          <w:color w:val="000000"/>
          <w:sz w:val="24"/>
          <w:szCs w:val="24"/>
        </w:rPr>
      </w:pPr>
    </w:p>
    <w:p w:rsidR="0083155C" w:rsidRPr="0083155C" w:rsidRDefault="0083155C" w:rsidP="0083155C">
      <w:pPr>
        <w:pBdr>
          <w:top w:val="nil"/>
          <w:left w:val="nil"/>
          <w:bottom w:val="nil"/>
          <w:right w:val="nil"/>
          <w:between w:val="nil"/>
        </w:pBdr>
        <w:spacing w:after="60" w:line="276" w:lineRule="auto"/>
        <w:ind w:left="360"/>
        <w:jc w:val="both"/>
        <w:rPr>
          <w:rFonts w:asciiTheme="majorHAnsi" w:eastAsia="Times New Roman" w:hAnsiTheme="majorHAnsi" w:cs="Times New Roman"/>
          <w:b/>
          <w:color w:val="000000"/>
          <w:sz w:val="24"/>
          <w:szCs w:val="24"/>
        </w:rPr>
      </w:pPr>
      <w:r w:rsidRPr="0083155C">
        <w:rPr>
          <w:rFonts w:asciiTheme="majorHAnsi" w:eastAsia="Times New Roman" w:hAnsiTheme="majorHAnsi" w:cs="Times New Roman"/>
          <w:b/>
          <w:color w:val="000000"/>
          <w:sz w:val="24"/>
          <w:szCs w:val="24"/>
        </w:rPr>
        <w:t>Pago 1:</w:t>
      </w:r>
      <w:r>
        <w:rPr>
          <w:rFonts w:asciiTheme="majorHAnsi" w:eastAsia="Times New Roman" w:hAnsiTheme="majorHAnsi" w:cs="Times New Roman"/>
          <w:b/>
          <w:color w:val="000000"/>
          <w:sz w:val="24"/>
          <w:szCs w:val="24"/>
        </w:rPr>
        <w:t xml:space="preserve"> (fecha máxima de entrega 22/11/2019)</w:t>
      </w:r>
    </w:p>
    <w:p w:rsidR="0083155C" w:rsidRPr="008D2D86" w:rsidRDefault="0083155C" w:rsidP="0083155C">
      <w:pPr>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Elaborados los Lineamientos Estratégicos para el desarrollo del dialogo.</w:t>
      </w:r>
    </w:p>
    <w:p w:rsidR="0083155C" w:rsidRPr="008D2D86" w:rsidRDefault="0083155C" w:rsidP="0083155C">
      <w:pPr>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Estructura de la agenda de dialogo y plan en base de las grandes etapas del dialogo.</w:t>
      </w:r>
    </w:p>
    <w:p w:rsidR="0083155C" w:rsidRPr="008D2D86" w:rsidRDefault="0083155C" w:rsidP="0083155C">
      <w:pPr>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Elaborado el Plan de Capacitación a los equipos del Despacho, a los representantes de la SEDUC  en las mesas de dialogo.</w:t>
      </w:r>
    </w:p>
    <w:p w:rsidR="0083155C" w:rsidRPr="008D2D86" w:rsidRDefault="0083155C" w:rsidP="0083155C">
      <w:pPr>
        <w:widowControl w:val="0"/>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 xml:space="preserve">Esquema de Monitoreo y emisión de reportes de las mesas de diálogo y de los equipos de trabajo en las mesas. </w:t>
      </w:r>
    </w:p>
    <w:p w:rsidR="0083155C" w:rsidRPr="0083155C" w:rsidRDefault="0083155C" w:rsidP="0083155C">
      <w:pPr>
        <w:pBdr>
          <w:top w:val="nil"/>
          <w:left w:val="nil"/>
          <w:bottom w:val="nil"/>
          <w:right w:val="nil"/>
          <w:between w:val="nil"/>
        </w:pBdr>
        <w:spacing w:after="60" w:line="276" w:lineRule="auto"/>
        <w:ind w:left="360"/>
        <w:jc w:val="both"/>
        <w:rPr>
          <w:rFonts w:asciiTheme="majorHAnsi" w:eastAsia="Times New Roman" w:hAnsiTheme="majorHAnsi" w:cs="Times New Roman"/>
          <w:b/>
          <w:color w:val="000000"/>
          <w:sz w:val="24"/>
          <w:szCs w:val="24"/>
        </w:rPr>
      </w:pPr>
      <w:r w:rsidRPr="0083155C">
        <w:rPr>
          <w:rFonts w:asciiTheme="majorHAnsi" w:eastAsia="Times New Roman" w:hAnsiTheme="majorHAnsi" w:cs="Times New Roman"/>
          <w:b/>
          <w:color w:val="000000"/>
          <w:sz w:val="24"/>
          <w:szCs w:val="24"/>
        </w:rPr>
        <w:t>Pago 2:</w:t>
      </w:r>
      <w:r>
        <w:rPr>
          <w:rFonts w:asciiTheme="majorHAnsi" w:eastAsia="Times New Roman" w:hAnsiTheme="majorHAnsi" w:cs="Times New Roman"/>
          <w:b/>
          <w:color w:val="000000"/>
          <w:sz w:val="24"/>
          <w:szCs w:val="24"/>
        </w:rPr>
        <w:t xml:space="preserve"> (fecha máxima de entrega 13/12/2019)</w:t>
      </w:r>
    </w:p>
    <w:p w:rsidR="0083155C" w:rsidRPr="008D2D86" w:rsidRDefault="0083155C" w:rsidP="0083155C">
      <w:pPr>
        <w:widowControl w:val="0"/>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Elaborados reportes de avance semanal con los principales acuerdos de las mesas.</w:t>
      </w:r>
    </w:p>
    <w:p w:rsidR="0083155C" w:rsidRPr="008D2D86" w:rsidRDefault="0083155C" w:rsidP="0083155C">
      <w:pPr>
        <w:widowControl w:val="0"/>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Generación de propuestas y estructurar la forma de presentación al Despacho y al equipo nacional.</w:t>
      </w:r>
    </w:p>
    <w:p w:rsidR="0083155C" w:rsidRPr="008D2D86" w:rsidRDefault="0083155C" w:rsidP="0083155C">
      <w:pPr>
        <w:widowControl w:val="0"/>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Diseñar la estrategia de comunicación de los alcances de dialogo.</w:t>
      </w:r>
    </w:p>
    <w:p w:rsidR="0083155C" w:rsidRPr="008D2D86" w:rsidRDefault="0083155C" w:rsidP="0083155C">
      <w:pPr>
        <w:widowControl w:val="0"/>
        <w:numPr>
          <w:ilvl w:val="0"/>
          <w:numId w:val="10"/>
        </w:numPr>
        <w:pBdr>
          <w:top w:val="nil"/>
          <w:left w:val="nil"/>
          <w:bottom w:val="nil"/>
          <w:right w:val="nil"/>
          <w:between w:val="nil"/>
        </w:pBdr>
        <w:spacing w:after="60" w:line="276" w:lineRule="auto"/>
        <w:ind w:left="360" w:right="676"/>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lastRenderedPageBreak/>
        <w:t>Elaborar el Informe final del proceso de dialogo y sus resultados.</w:t>
      </w:r>
    </w:p>
    <w:p w:rsidR="001274ED" w:rsidRPr="001274ED" w:rsidRDefault="001274ED" w:rsidP="008D2D86">
      <w:pPr>
        <w:pBdr>
          <w:top w:val="nil"/>
          <w:left w:val="nil"/>
          <w:bottom w:val="nil"/>
          <w:right w:val="nil"/>
          <w:between w:val="nil"/>
        </w:pBdr>
        <w:spacing w:after="60" w:line="276" w:lineRule="auto"/>
        <w:jc w:val="both"/>
        <w:rPr>
          <w:rFonts w:asciiTheme="majorHAnsi" w:eastAsia="Times New Roman" w:hAnsiTheme="majorHAnsi" w:cs="Times New Roman"/>
          <w:color w:val="000000"/>
          <w:sz w:val="24"/>
          <w:szCs w:val="24"/>
        </w:rPr>
      </w:pPr>
    </w:p>
    <w:p w:rsidR="004F2433" w:rsidRPr="008D2D86" w:rsidRDefault="00D7666E" w:rsidP="008D2D86">
      <w:pPr>
        <w:pBdr>
          <w:top w:val="nil"/>
          <w:left w:val="nil"/>
          <w:bottom w:val="nil"/>
          <w:right w:val="nil"/>
          <w:between w:val="nil"/>
        </w:pBdr>
        <w:spacing w:after="60" w:line="276" w:lineRule="auto"/>
        <w:jc w:val="both"/>
        <w:rPr>
          <w:rFonts w:asciiTheme="majorHAnsi" w:eastAsia="Times New Roman" w:hAnsiTheme="majorHAnsi" w:cs="Times New Roman"/>
          <w:b/>
          <w:color w:val="000000"/>
          <w:sz w:val="24"/>
          <w:szCs w:val="24"/>
        </w:rPr>
      </w:pPr>
      <w:r w:rsidRPr="008D2D86">
        <w:rPr>
          <w:rFonts w:asciiTheme="majorHAnsi" w:eastAsia="Times New Roman" w:hAnsiTheme="majorHAnsi" w:cs="Times New Roman"/>
          <w:b/>
          <w:color w:val="000000"/>
          <w:sz w:val="24"/>
          <w:szCs w:val="24"/>
        </w:rPr>
        <w:t>VII.- DURACIÓN DEL CONTRATO</w:t>
      </w:r>
    </w:p>
    <w:p w:rsidR="004F2433" w:rsidRPr="008D2D86" w:rsidRDefault="00D7666E" w:rsidP="008D2D86">
      <w:pPr>
        <w:pBdr>
          <w:top w:val="nil"/>
          <w:left w:val="nil"/>
          <w:bottom w:val="nil"/>
          <w:right w:val="nil"/>
          <w:between w:val="nil"/>
        </w:pBdr>
        <w:spacing w:after="60" w:line="276" w:lineRule="auto"/>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La duración contrato será a partir de</w:t>
      </w:r>
      <w:r w:rsidR="008D2D86" w:rsidRPr="008D2D86">
        <w:rPr>
          <w:rFonts w:asciiTheme="majorHAnsi" w:eastAsia="Times New Roman" w:hAnsiTheme="majorHAnsi" w:cs="Times New Roman"/>
          <w:color w:val="000000"/>
          <w:sz w:val="24"/>
          <w:szCs w:val="24"/>
        </w:rPr>
        <w:t xml:space="preserve">l </w:t>
      </w:r>
      <w:r w:rsidR="0083155C">
        <w:rPr>
          <w:rFonts w:asciiTheme="majorHAnsi" w:eastAsia="Times New Roman" w:hAnsiTheme="majorHAnsi" w:cs="Times New Roman"/>
          <w:color w:val="000000"/>
          <w:sz w:val="24"/>
          <w:szCs w:val="24"/>
        </w:rPr>
        <w:t>01 de Diciembre</w:t>
      </w:r>
      <w:r w:rsidR="008D2D86" w:rsidRPr="008D2D86">
        <w:rPr>
          <w:rFonts w:asciiTheme="majorHAnsi" w:eastAsia="Times New Roman" w:hAnsiTheme="majorHAnsi" w:cs="Times New Roman"/>
          <w:color w:val="000000"/>
          <w:sz w:val="24"/>
          <w:szCs w:val="24"/>
        </w:rPr>
        <w:t xml:space="preserve"> </w:t>
      </w:r>
      <w:r w:rsidRPr="008D2D86">
        <w:rPr>
          <w:rFonts w:asciiTheme="majorHAnsi" w:eastAsia="Times New Roman" w:hAnsiTheme="majorHAnsi" w:cs="Times New Roman"/>
          <w:color w:val="000000"/>
          <w:sz w:val="24"/>
          <w:szCs w:val="24"/>
        </w:rPr>
        <w:t>de</w:t>
      </w:r>
      <w:r w:rsidR="008D2D86" w:rsidRPr="008D2D86">
        <w:rPr>
          <w:rFonts w:asciiTheme="majorHAnsi" w:eastAsia="Times New Roman" w:hAnsiTheme="majorHAnsi" w:cs="Times New Roman"/>
          <w:color w:val="000000"/>
          <w:sz w:val="24"/>
          <w:szCs w:val="24"/>
        </w:rPr>
        <w:t xml:space="preserve">l 2019 al 31 de Diciembre </w:t>
      </w:r>
      <w:r w:rsidRPr="008D2D86">
        <w:rPr>
          <w:rFonts w:asciiTheme="majorHAnsi" w:eastAsia="Times New Roman" w:hAnsiTheme="majorHAnsi" w:cs="Times New Roman"/>
          <w:color w:val="000000"/>
          <w:sz w:val="24"/>
          <w:szCs w:val="24"/>
        </w:rPr>
        <w:t>del 2019.</w:t>
      </w:r>
    </w:p>
    <w:p w:rsidR="004F2433" w:rsidRPr="008D2D86" w:rsidRDefault="004F2433" w:rsidP="008D2D86">
      <w:pPr>
        <w:pBdr>
          <w:top w:val="nil"/>
          <w:left w:val="nil"/>
          <w:bottom w:val="nil"/>
          <w:right w:val="nil"/>
          <w:between w:val="nil"/>
        </w:pBdr>
        <w:spacing w:after="60" w:line="276" w:lineRule="auto"/>
        <w:jc w:val="both"/>
        <w:rPr>
          <w:rFonts w:asciiTheme="majorHAnsi" w:eastAsia="Times New Roman" w:hAnsiTheme="majorHAnsi" w:cs="Times New Roman"/>
          <w:color w:val="000000"/>
          <w:sz w:val="24"/>
          <w:szCs w:val="24"/>
        </w:rPr>
      </w:pPr>
    </w:p>
    <w:p w:rsidR="004F2433" w:rsidRPr="008D2D86" w:rsidRDefault="00D7666E" w:rsidP="008D2D86">
      <w:pPr>
        <w:pBdr>
          <w:top w:val="nil"/>
          <w:left w:val="nil"/>
          <w:bottom w:val="nil"/>
          <w:right w:val="nil"/>
          <w:between w:val="nil"/>
        </w:pBdr>
        <w:spacing w:after="60" w:line="276" w:lineRule="auto"/>
        <w:jc w:val="both"/>
        <w:rPr>
          <w:rFonts w:asciiTheme="majorHAnsi" w:eastAsia="Times New Roman" w:hAnsiTheme="majorHAnsi" w:cs="Times New Roman"/>
          <w:b/>
          <w:color w:val="000000"/>
          <w:sz w:val="24"/>
          <w:szCs w:val="24"/>
        </w:rPr>
      </w:pPr>
      <w:r w:rsidRPr="008D2D86">
        <w:rPr>
          <w:rFonts w:asciiTheme="majorHAnsi" w:eastAsia="Times New Roman" w:hAnsiTheme="majorHAnsi" w:cs="Times New Roman"/>
          <w:b/>
          <w:color w:val="000000"/>
          <w:sz w:val="24"/>
          <w:szCs w:val="24"/>
        </w:rPr>
        <w:t>VIII.- LUGAR DE PRESTACIÓN DEL SERVICIO.</w:t>
      </w:r>
    </w:p>
    <w:p w:rsidR="004F2433" w:rsidRPr="008D2D86" w:rsidRDefault="00D7666E" w:rsidP="008D2D86">
      <w:pPr>
        <w:pBdr>
          <w:top w:val="nil"/>
          <w:left w:val="nil"/>
          <w:bottom w:val="nil"/>
          <w:right w:val="nil"/>
          <w:between w:val="nil"/>
        </w:pBdr>
        <w:spacing w:after="60" w:line="276" w:lineRule="auto"/>
        <w:jc w:val="both"/>
        <w:rPr>
          <w:rFonts w:asciiTheme="majorHAnsi" w:eastAsia="Times New Roman" w:hAnsiTheme="majorHAnsi" w:cs="Times New Roman"/>
          <w:color w:val="000000"/>
          <w:sz w:val="24"/>
          <w:szCs w:val="24"/>
          <w:highlight w:val="lightGray"/>
        </w:rPr>
      </w:pPr>
      <w:r w:rsidRPr="008D2D86">
        <w:rPr>
          <w:rFonts w:asciiTheme="majorHAnsi" w:eastAsia="Times New Roman" w:hAnsiTheme="majorHAnsi" w:cs="Times New Roman"/>
          <w:color w:val="000000"/>
          <w:sz w:val="24"/>
          <w:szCs w:val="24"/>
        </w:rPr>
        <w:t xml:space="preserve">La sede o lugar de prestación de la consultoría será en Tegucigalpa M.D.C., Francisco Morazán.   </w:t>
      </w:r>
    </w:p>
    <w:p w:rsidR="004F2433" w:rsidRPr="008D2D86" w:rsidRDefault="004F2433" w:rsidP="008D2D86">
      <w:pPr>
        <w:pBdr>
          <w:top w:val="nil"/>
          <w:left w:val="nil"/>
          <w:bottom w:val="nil"/>
          <w:right w:val="nil"/>
          <w:between w:val="nil"/>
        </w:pBdr>
        <w:spacing w:after="60" w:line="276" w:lineRule="auto"/>
        <w:ind w:left="360"/>
        <w:jc w:val="both"/>
        <w:rPr>
          <w:rFonts w:asciiTheme="majorHAnsi" w:eastAsia="Times New Roman" w:hAnsiTheme="majorHAnsi" w:cs="Times New Roman"/>
          <w:color w:val="000000"/>
          <w:sz w:val="24"/>
          <w:szCs w:val="24"/>
        </w:rPr>
      </w:pPr>
    </w:p>
    <w:p w:rsidR="004F2433" w:rsidRPr="008D2D86" w:rsidRDefault="00D7666E" w:rsidP="008D2D86">
      <w:pPr>
        <w:pBdr>
          <w:top w:val="nil"/>
          <w:left w:val="nil"/>
          <w:bottom w:val="nil"/>
          <w:right w:val="nil"/>
          <w:between w:val="nil"/>
        </w:pBdr>
        <w:spacing w:after="60" w:line="276" w:lineRule="auto"/>
        <w:jc w:val="both"/>
        <w:rPr>
          <w:rFonts w:asciiTheme="majorHAnsi" w:eastAsia="Times New Roman" w:hAnsiTheme="majorHAnsi" w:cs="Times New Roman"/>
          <w:b/>
          <w:color w:val="000000"/>
          <w:sz w:val="24"/>
          <w:szCs w:val="24"/>
        </w:rPr>
      </w:pPr>
      <w:r w:rsidRPr="008D2D86">
        <w:rPr>
          <w:rFonts w:asciiTheme="majorHAnsi" w:eastAsia="Times New Roman" w:hAnsiTheme="majorHAnsi" w:cs="Times New Roman"/>
          <w:b/>
          <w:color w:val="000000"/>
          <w:sz w:val="24"/>
          <w:szCs w:val="24"/>
        </w:rPr>
        <w:t>IX.- PERFIL PROFESIONAL:</w:t>
      </w:r>
    </w:p>
    <w:p w:rsidR="004F2433" w:rsidRPr="008D2D86" w:rsidRDefault="00D7666E" w:rsidP="008D2D86">
      <w:pPr>
        <w:pBdr>
          <w:top w:val="nil"/>
          <w:left w:val="nil"/>
          <w:bottom w:val="nil"/>
          <w:right w:val="nil"/>
          <w:between w:val="nil"/>
        </w:pBdr>
        <w:spacing w:after="60" w:line="276" w:lineRule="auto"/>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Requisitos académicos</w:t>
      </w:r>
    </w:p>
    <w:p w:rsidR="004F2433" w:rsidRPr="008D2D86" w:rsidRDefault="00D7666E" w:rsidP="008D2D86">
      <w:pPr>
        <w:numPr>
          <w:ilvl w:val="0"/>
          <w:numId w:val="7"/>
        </w:numPr>
        <w:pBdr>
          <w:top w:val="nil"/>
          <w:left w:val="nil"/>
          <w:bottom w:val="nil"/>
          <w:right w:val="nil"/>
          <w:between w:val="nil"/>
        </w:pBdr>
        <w:spacing w:after="60" w:line="276" w:lineRule="auto"/>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Título universitario e</w:t>
      </w:r>
      <w:r w:rsidR="00AE715D">
        <w:rPr>
          <w:rFonts w:asciiTheme="majorHAnsi" w:eastAsia="Times New Roman" w:hAnsiTheme="majorHAnsi" w:cs="Times New Roman"/>
          <w:color w:val="000000"/>
          <w:sz w:val="24"/>
          <w:szCs w:val="24"/>
        </w:rPr>
        <w:t>n Ciencias Jurídicas y Sociales, Relaciones Publicas, Comercio Internacional o carreras afines</w:t>
      </w:r>
    </w:p>
    <w:p w:rsidR="004F2433" w:rsidRPr="008D2D86" w:rsidRDefault="00D7666E" w:rsidP="008D2D86">
      <w:pPr>
        <w:pBdr>
          <w:top w:val="nil"/>
          <w:left w:val="nil"/>
          <w:bottom w:val="nil"/>
          <w:right w:val="nil"/>
          <w:between w:val="nil"/>
        </w:pBdr>
        <w:spacing w:after="60" w:line="276" w:lineRule="auto"/>
        <w:jc w:val="both"/>
        <w:rPr>
          <w:rFonts w:asciiTheme="majorHAnsi" w:eastAsia="Times New Roman" w:hAnsiTheme="majorHAnsi" w:cs="Times New Roman"/>
          <w:color w:val="000000"/>
          <w:sz w:val="24"/>
          <w:szCs w:val="24"/>
        </w:rPr>
      </w:pPr>
      <w:r w:rsidRPr="008D2D86">
        <w:rPr>
          <w:rFonts w:asciiTheme="majorHAnsi" w:eastAsia="Times New Roman" w:hAnsiTheme="majorHAnsi" w:cs="Times New Roman"/>
          <w:color w:val="000000"/>
          <w:sz w:val="24"/>
          <w:szCs w:val="24"/>
        </w:rPr>
        <w:t>Experiencia:</w:t>
      </w:r>
    </w:p>
    <w:p w:rsidR="004F2433" w:rsidRPr="008D2D86" w:rsidRDefault="00D7666E" w:rsidP="008D2D86">
      <w:pPr>
        <w:numPr>
          <w:ilvl w:val="0"/>
          <w:numId w:val="8"/>
        </w:numPr>
        <w:pBdr>
          <w:top w:val="nil"/>
          <w:left w:val="nil"/>
          <w:bottom w:val="nil"/>
          <w:right w:val="nil"/>
          <w:between w:val="nil"/>
        </w:pBdr>
        <w:spacing w:after="60" w:line="276" w:lineRule="auto"/>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Dominio de temas vinculantes con sistemas de previsión y jubilación, finanzas, leyes educativas y Derechos Humanos.</w:t>
      </w:r>
    </w:p>
    <w:p w:rsidR="004F2433" w:rsidRPr="008D2D86" w:rsidRDefault="00D7666E" w:rsidP="008D2D86">
      <w:pPr>
        <w:numPr>
          <w:ilvl w:val="0"/>
          <w:numId w:val="8"/>
        </w:numPr>
        <w:pBdr>
          <w:top w:val="nil"/>
          <w:left w:val="nil"/>
          <w:bottom w:val="nil"/>
          <w:right w:val="nil"/>
          <w:between w:val="nil"/>
        </w:pBdr>
        <w:spacing w:after="60" w:line="276" w:lineRule="auto"/>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Experiencia general en trabajos realizados en el sector público y privado en lo relacionado a  Mediación y resolución de conflictos sociales.</w:t>
      </w:r>
    </w:p>
    <w:p w:rsidR="004F2433" w:rsidRPr="008D2D86" w:rsidRDefault="00D7666E" w:rsidP="008D2D86">
      <w:pPr>
        <w:numPr>
          <w:ilvl w:val="0"/>
          <w:numId w:val="8"/>
        </w:numPr>
        <w:pBdr>
          <w:top w:val="nil"/>
          <w:left w:val="nil"/>
          <w:bottom w:val="nil"/>
          <w:right w:val="nil"/>
          <w:between w:val="nil"/>
        </w:pBdr>
        <w:spacing w:after="60" w:line="276" w:lineRule="auto"/>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Poseer experiencia en las áreas de dialogo político, comunicación con impacto y elaboración de propuestas utilizando mecanismos altamente participativos.</w:t>
      </w:r>
    </w:p>
    <w:p w:rsidR="004F2433" w:rsidRPr="008D2D86" w:rsidRDefault="00D7666E" w:rsidP="008D2D86">
      <w:pPr>
        <w:numPr>
          <w:ilvl w:val="0"/>
          <w:numId w:val="8"/>
        </w:numPr>
        <w:pBdr>
          <w:top w:val="nil"/>
          <w:left w:val="nil"/>
          <w:bottom w:val="nil"/>
          <w:right w:val="nil"/>
          <w:between w:val="nil"/>
        </w:pBdr>
        <w:spacing w:after="60" w:line="276" w:lineRule="auto"/>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 xml:space="preserve">Experiencia en el área laboral al menos </w:t>
      </w:r>
      <w:r w:rsidR="00AE715D">
        <w:rPr>
          <w:rFonts w:asciiTheme="majorHAnsi" w:eastAsia="Times New Roman" w:hAnsiTheme="majorHAnsi" w:cs="Times New Roman"/>
          <w:color w:val="000000"/>
          <w:sz w:val="24"/>
          <w:szCs w:val="24"/>
        </w:rPr>
        <w:t>5</w:t>
      </w:r>
      <w:r w:rsidRPr="008D2D86">
        <w:rPr>
          <w:rFonts w:asciiTheme="majorHAnsi" w:eastAsia="Times New Roman" w:hAnsiTheme="majorHAnsi" w:cs="Times New Roman"/>
          <w:color w:val="000000"/>
          <w:sz w:val="24"/>
          <w:szCs w:val="24"/>
        </w:rPr>
        <w:t xml:space="preserve"> años en el sector público y privado.</w:t>
      </w:r>
    </w:p>
    <w:p w:rsidR="004F2433" w:rsidRPr="008D2D86" w:rsidRDefault="00D7666E" w:rsidP="008D2D86">
      <w:pPr>
        <w:numPr>
          <w:ilvl w:val="0"/>
          <w:numId w:val="8"/>
        </w:numPr>
        <w:pBdr>
          <w:top w:val="nil"/>
          <w:left w:val="nil"/>
          <w:bottom w:val="nil"/>
          <w:right w:val="nil"/>
          <w:between w:val="nil"/>
        </w:pBdr>
        <w:spacing w:after="60" w:line="276" w:lineRule="auto"/>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Experiencia en elaboración de agendas, memorias, propuestas e informes técnicos de alta calidad.</w:t>
      </w:r>
    </w:p>
    <w:p w:rsidR="004F2433" w:rsidRPr="008D2D86" w:rsidRDefault="00D7666E" w:rsidP="008D2D86">
      <w:pPr>
        <w:numPr>
          <w:ilvl w:val="0"/>
          <w:numId w:val="8"/>
        </w:numPr>
        <w:pBdr>
          <w:top w:val="nil"/>
          <w:left w:val="nil"/>
          <w:bottom w:val="nil"/>
          <w:right w:val="nil"/>
          <w:between w:val="nil"/>
        </w:pBdr>
        <w:shd w:val="clear" w:color="auto" w:fill="FFFFFF"/>
        <w:spacing w:after="60" w:line="276" w:lineRule="auto"/>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Experiencia en el desarrollo de iniciativas de consulta, comunicación y sistematización de experiencias de generación de conocimiento.</w:t>
      </w:r>
    </w:p>
    <w:p w:rsidR="004F2433" w:rsidRPr="008D2D86" w:rsidRDefault="00D7666E" w:rsidP="008D2D86">
      <w:pPr>
        <w:numPr>
          <w:ilvl w:val="0"/>
          <w:numId w:val="8"/>
        </w:numPr>
        <w:pBdr>
          <w:top w:val="nil"/>
          <w:left w:val="nil"/>
          <w:bottom w:val="nil"/>
          <w:right w:val="nil"/>
          <w:between w:val="nil"/>
        </w:pBdr>
        <w:shd w:val="clear" w:color="auto" w:fill="FFFFFF"/>
        <w:spacing w:after="60" w:line="276" w:lineRule="auto"/>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Experiencia de 3 años en procesos de capacitación de personal.</w:t>
      </w:r>
    </w:p>
    <w:p w:rsidR="004F2433" w:rsidRPr="008D2D86" w:rsidRDefault="00D7666E" w:rsidP="008D2D86">
      <w:pPr>
        <w:numPr>
          <w:ilvl w:val="0"/>
          <w:numId w:val="8"/>
        </w:numPr>
        <w:pBdr>
          <w:top w:val="nil"/>
          <w:left w:val="nil"/>
          <w:bottom w:val="nil"/>
          <w:right w:val="nil"/>
          <w:between w:val="nil"/>
        </w:pBdr>
        <w:spacing w:after="60" w:line="276" w:lineRule="auto"/>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Conocimiento de las leyes laborales nacionales vigentes.</w:t>
      </w:r>
    </w:p>
    <w:p w:rsidR="004F2433" w:rsidRPr="008D2D86" w:rsidRDefault="00D7666E" w:rsidP="008D2D86">
      <w:pPr>
        <w:pBdr>
          <w:top w:val="nil"/>
          <w:left w:val="nil"/>
          <w:bottom w:val="nil"/>
          <w:right w:val="nil"/>
          <w:between w:val="nil"/>
        </w:pBdr>
        <w:spacing w:after="60" w:line="276" w:lineRule="auto"/>
        <w:jc w:val="both"/>
        <w:rPr>
          <w:rFonts w:asciiTheme="majorHAnsi" w:eastAsia="Times New Roman" w:hAnsiTheme="majorHAnsi" w:cs="Times New Roman"/>
          <w:b/>
          <w:color w:val="000000"/>
          <w:sz w:val="24"/>
          <w:szCs w:val="24"/>
        </w:rPr>
      </w:pPr>
      <w:r w:rsidRPr="008D2D86">
        <w:rPr>
          <w:rFonts w:asciiTheme="majorHAnsi" w:eastAsia="Times New Roman" w:hAnsiTheme="majorHAnsi" w:cs="Times New Roman"/>
          <w:b/>
          <w:color w:val="000000"/>
          <w:sz w:val="24"/>
          <w:szCs w:val="24"/>
        </w:rPr>
        <w:t>OTRAS HABILIDADES TÉCNICAS</w:t>
      </w:r>
    </w:p>
    <w:p w:rsidR="004F2433" w:rsidRPr="008D2D86" w:rsidRDefault="00D7666E" w:rsidP="008D2D86">
      <w:pPr>
        <w:numPr>
          <w:ilvl w:val="0"/>
          <w:numId w:val="5"/>
        </w:numPr>
        <w:pBdr>
          <w:top w:val="nil"/>
          <w:left w:val="nil"/>
          <w:bottom w:val="nil"/>
          <w:right w:val="nil"/>
          <w:between w:val="nil"/>
        </w:pBdr>
        <w:spacing w:after="60" w:line="276" w:lineRule="auto"/>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Conocimiento en la gestión de los procesos y procedimientos administrativos y procesos legales en la administración pública para la ejecución de acciones oportunas.</w:t>
      </w:r>
    </w:p>
    <w:p w:rsidR="004F2433" w:rsidRPr="008D2D86" w:rsidRDefault="00D7666E" w:rsidP="008D2D86">
      <w:pPr>
        <w:numPr>
          <w:ilvl w:val="0"/>
          <w:numId w:val="5"/>
        </w:numPr>
        <w:pBdr>
          <w:top w:val="nil"/>
          <w:left w:val="nil"/>
          <w:bottom w:val="nil"/>
          <w:right w:val="nil"/>
          <w:between w:val="nil"/>
        </w:pBdr>
        <w:spacing w:after="60" w:line="276" w:lineRule="auto"/>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Capacidad para relacionarse con organismos públicos y privados.</w:t>
      </w:r>
    </w:p>
    <w:p w:rsidR="004F2433" w:rsidRPr="008D2D86" w:rsidRDefault="00D7666E" w:rsidP="008D2D86">
      <w:pPr>
        <w:numPr>
          <w:ilvl w:val="0"/>
          <w:numId w:val="5"/>
        </w:numPr>
        <w:pBdr>
          <w:top w:val="nil"/>
          <w:left w:val="nil"/>
          <w:bottom w:val="nil"/>
          <w:right w:val="nil"/>
          <w:between w:val="nil"/>
        </w:pBdr>
        <w:spacing w:after="60" w:line="276" w:lineRule="auto"/>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Capacidad para desarrollar trabajos con equipos multidisciplinarios.</w:t>
      </w:r>
    </w:p>
    <w:p w:rsidR="004F2433" w:rsidRPr="008D2D86" w:rsidRDefault="00D7666E" w:rsidP="008D2D86">
      <w:pPr>
        <w:numPr>
          <w:ilvl w:val="0"/>
          <w:numId w:val="5"/>
        </w:numPr>
        <w:pBdr>
          <w:top w:val="nil"/>
          <w:left w:val="nil"/>
          <w:bottom w:val="nil"/>
          <w:right w:val="nil"/>
          <w:between w:val="nil"/>
        </w:pBdr>
        <w:spacing w:after="60" w:line="276" w:lineRule="auto"/>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t>Capacidad de trabajo en equipo bajo presión.</w:t>
      </w:r>
    </w:p>
    <w:p w:rsidR="004F2433" w:rsidRPr="008D2D86" w:rsidRDefault="00D7666E" w:rsidP="008D2D86">
      <w:pPr>
        <w:numPr>
          <w:ilvl w:val="0"/>
          <w:numId w:val="5"/>
        </w:numPr>
        <w:pBdr>
          <w:top w:val="nil"/>
          <w:left w:val="nil"/>
          <w:bottom w:val="nil"/>
          <w:right w:val="nil"/>
          <w:between w:val="nil"/>
        </w:pBdr>
        <w:spacing w:after="60" w:line="276" w:lineRule="auto"/>
        <w:jc w:val="both"/>
        <w:rPr>
          <w:rFonts w:asciiTheme="majorHAnsi" w:hAnsiTheme="majorHAnsi"/>
          <w:color w:val="000000"/>
          <w:sz w:val="24"/>
          <w:szCs w:val="24"/>
        </w:rPr>
      </w:pPr>
      <w:r w:rsidRPr="008D2D86">
        <w:rPr>
          <w:rFonts w:asciiTheme="majorHAnsi" w:eastAsia="Times New Roman" w:hAnsiTheme="majorHAnsi" w:cs="Times New Roman"/>
          <w:color w:val="000000"/>
          <w:sz w:val="24"/>
          <w:szCs w:val="24"/>
        </w:rPr>
        <w:lastRenderedPageBreak/>
        <w:t xml:space="preserve">manejo de paquetes computaciones: Word, Excel, </w:t>
      </w:r>
      <w:proofErr w:type="spellStart"/>
      <w:r w:rsidRPr="008D2D86">
        <w:rPr>
          <w:rFonts w:asciiTheme="majorHAnsi" w:eastAsia="Times New Roman" w:hAnsiTheme="majorHAnsi" w:cs="Times New Roman"/>
          <w:color w:val="000000"/>
          <w:sz w:val="24"/>
          <w:szCs w:val="24"/>
        </w:rPr>
        <w:t>power</w:t>
      </w:r>
      <w:proofErr w:type="spellEnd"/>
      <w:r w:rsidRPr="008D2D86">
        <w:rPr>
          <w:rFonts w:asciiTheme="majorHAnsi" w:eastAsia="Times New Roman" w:hAnsiTheme="majorHAnsi" w:cs="Times New Roman"/>
          <w:color w:val="000000"/>
          <w:sz w:val="24"/>
          <w:szCs w:val="24"/>
        </w:rPr>
        <w:t xml:space="preserve"> </w:t>
      </w:r>
      <w:proofErr w:type="spellStart"/>
      <w:r w:rsidRPr="008D2D86">
        <w:rPr>
          <w:rFonts w:asciiTheme="majorHAnsi" w:eastAsia="Times New Roman" w:hAnsiTheme="majorHAnsi" w:cs="Times New Roman"/>
          <w:color w:val="000000"/>
          <w:sz w:val="24"/>
          <w:szCs w:val="24"/>
        </w:rPr>
        <w:t>point</w:t>
      </w:r>
      <w:proofErr w:type="spellEnd"/>
      <w:r w:rsidRPr="008D2D86">
        <w:rPr>
          <w:rFonts w:asciiTheme="majorHAnsi" w:eastAsia="Times New Roman" w:hAnsiTheme="majorHAnsi" w:cs="Times New Roman"/>
          <w:color w:val="000000"/>
          <w:sz w:val="24"/>
          <w:szCs w:val="24"/>
        </w:rPr>
        <w:t>.</w:t>
      </w:r>
    </w:p>
    <w:p w:rsidR="008D2D86" w:rsidRPr="008D2D86" w:rsidRDefault="008D2D86" w:rsidP="008D2D86">
      <w:pPr>
        <w:pBdr>
          <w:top w:val="nil"/>
          <w:left w:val="nil"/>
          <w:bottom w:val="nil"/>
          <w:right w:val="nil"/>
          <w:between w:val="nil"/>
        </w:pBdr>
        <w:spacing w:after="60" w:line="276" w:lineRule="auto"/>
        <w:ind w:left="360"/>
        <w:jc w:val="both"/>
        <w:rPr>
          <w:rFonts w:asciiTheme="majorHAnsi" w:hAnsiTheme="majorHAnsi"/>
          <w:color w:val="000000"/>
          <w:sz w:val="24"/>
          <w:szCs w:val="24"/>
        </w:rPr>
      </w:pPr>
    </w:p>
    <w:p w:rsidR="008D2D86" w:rsidRPr="008D2D86" w:rsidRDefault="008D2D86" w:rsidP="008D2D86">
      <w:pPr>
        <w:pStyle w:val="Textoindependiente"/>
        <w:widowControl/>
        <w:numPr>
          <w:ilvl w:val="0"/>
          <w:numId w:val="14"/>
        </w:numPr>
        <w:autoSpaceDE/>
        <w:autoSpaceDN/>
        <w:spacing w:after="60" w:line="276" w:lineRule="auto"/>
        <w:ind w:left="426" w:hanging="426"/>
        <w:jc w:val="both"/>
        <w:rPr>
          <w:rFonts w:asciiTheme="majorHAnsi" w:hAnsiTheme="majorHAnsi" w:cs="Times New Roman"/>
          <w:b/>
        </w:rPr>
      </w:pPr>
      <w:r w:rsidRPr="008D2D86">
        <w:rPr>
          <w:rFonts w:asciiTheme="majorHAnsi" w:hAnsiTheme="majorHAnsi" w:cs="Times New Roman"/>
          <w:b/>
        </w:rPr>
        <w:t>DIRECCIÓN Y SUPERVISIÓN</w:t>
      </w:r>
    </w:p>
    <w:p w:rsidR="008D2D86" w:rsidRPr="008D2D86" w:rsidRDefault="008D2D86" w:rsidP="008D2D86">
      <w:pPr>
        <w:pStyle w:val="Textoindependiente"/>
        <w:spacing w:after="60" w:line="276" w:lineRule="auto"/>
        <w:rPr>
          <w:rFonts w:asciiTheme="majorHAnsi" w:hAnsiTheme="majorHAnsi" w:cs="Times New Roman"/>
        </w:rPr>
      </w:pPr>
      <w:r w:rsidRPr="008D2D86">
        <w:rPr>
          <w:rFonts w:asciiTheme="majorHAnsi" w:hAnsiTheme="majorHAnsi" w:cs="Times New Roman"/>
        </w:rPr>
        <w:t>La Dirección y supervisión de los consultores estará a cargo del funcionario asignado por el Despacho Ministerial.</w:t>
      </w:r>
    </w:p>
    <w:p w:rsidR="008D2D86" w:rsidRPr="008D2D86" w:rsidRDefault="008D2D86" w:rsidP="008D2D86">
      <w:pPr>
        <w:pStyle w:val="Textoindependiente"/>
        <w:spacing w:after="60" w:line="276" w:lineRule="auto"/>
        <w:rPr>
          <w:rFonts w:asciiTheme="majorHAnsi" w:hAnsiTheme="majorHAnsi" w:cs="Times New Roman"/>
        </w:rPr>
      </w:pPr>
    </w:p>
    <w:p w:rsidR="008D2D86" w:rsidRPr="008D2D86" w:rsidRDefault="008D2D86" w:rsidP="008D2D86">
      <w:pPr>
        <w:pStyle w:val="Prrafodelista"/>
        <w:numPr>
          <w:ilvl w:val="0"/>
          <w:numId w:val="15"/>
        </w:numPr>
        <w:spacing w:after="60" w:line="276" w:lineRule="auto"/>
        <w:ind w:left="426" w:hanging="426"/>
        <w:jc w:val="both"/>
        <w:rPr>
          <w:rFonts w:asciiTheme="majorHAnsi" w:hAnsiTheme="majorHAnsi"/>
          <w:b/>
          <w:spacing w:val="1"/>
          <w:sz w:val="24"/>
          <w:szCs w:val="24"/>
        </w:rPr>
      </w:pPr>
      <w:r w:rsidRPr="008D2D86">
        <w:rPr>
          <w:rFonts w:asciiTheme="majorHAnsi" w:hAnsiTheme="majorHAnsi"/>
          <w:b/>
          <w:spacing w:val="1"/>
          <w:sz w:val="24"/>
          <w:szCs w:val="24"/>
        </w:rPr>
        <w:t>IMPUESTOS</w:t>
      </w:r>
    </w:p>
    <w:p w:rsidR="008D2D86" w:rsidRPr="008D2D86" w:rsidRDefault="008D2D86" w:rsidP="008D2D86">
      <w:pPr>
        <w:spacing w:after="60" w:line="276" w:lineRule="auto"/>
        <w:jc w:val="both"/>
        <w:rPr>
          <w:rFonts w:asciiTheme="majorHAnsi" w:hAnsiTheme="majorHAnsi"/>
          <w:spacing w:val="1"/>
          <w:sz w:val="24"/>
          <w:szCs w:val="24"/>
        </w:rPr>
      </w:pPr>
      <w:r w:rsidRPr="008D2D86">
        <w:rPr>
          <w:rFonts w:asciiTheme="majorHAnsi" w:hAnsiTheme="majorHAnsi"/>
          <w:spacing w:val="1"/>
          <w:sz w:val="24"/>
          <w:szCs w:val="24"/>
        </w:rPr>
        <w:t>Se hará deducible el 12.5% del monto total de la consultoría equivalente al pago de honorarios profesionales por concepto de pago de impuesto sobre la renta (ISR).</w:t>
      </w:r>
    </w:p>
    <w:p w:rsidR="008D2D86" w:rsidRPr="008D2D86" w:rsidRDefault="008D2D86" w:rsidP="008D2D86">
      <w:pPr>
        <w:tabs>
          <w:tab w:val="left" w:pos="1470"/>
        </w:tabs>
        <w:spacing w:after="60" w:line="276" w:lineRule="auto"/>
        <w:jc w:val="both"/>
        <w:rPr>
          <w:rFonts w:asciiTheme="majorHAnsi" w:hAnsiTheme="majorHAnsi"/>
          <w:b/>
          <w:sz w:val="24"/>
          <w:szCs w:val="24"/>
        </w:rPr>
      </w:pPr>
    </w:p>
    <w:p w:rsidR="008D2D86" w:rsidRPr="008D2D86" w:rsidRDefault="008D2D86" w:rsidP="008D2D86">
      <w:pPr>
        <w:tabs>
          <w:tab w:val="left" w:pos="426"/>
        </w:tabs>
        <w:spacing w:after="60" w:line="276" w:lineRule="auto"/>
        <w:ind w:left="567" w:hanging="567"/>
        <w:jc w:val="both"/>
        <w:rPr>
          <w:rFonts w:asciiTheme="majorHAnsi" w:hAnsiTheme="majorHAnsi"/>
          <w:b/>
          <w:sz w:val="24"/>
          <w:szCs w:val="24"/>
        </w:rPr>
      </w:pPr>
      <w:r w:rsidRPr="008D2D86">
        <w:rPr>
          <w:rFonts w:asciiTheme="majorHAnsi" w:hAnsiTheme="majorHAnsi"/>
          <w:b/>
          <w:sz w:val="24"/>
          <w:szCs w:val="24"/>
        </w:rPr>
        <w:t>XII. GARANTÍA DE CUMPLIMIENTO</w:t>
      </w:r>
    </w:p>
    <w:p w:rsidR="008D2D86" w:rsidRPr="008D2D86" w:rsidRDefault="008D2D86" w:rsidP="008D2D86">
      <w:pPr>
        <w:autoSpaceDE w:val="0"/>
        <w:autoSpaceDN w:val="0"/>
        <w:adjustRightInd w:val="0"/>
        <w:spacing w:after="60" w:line="276" w:lineRule="auto"/>
        <w:jc w:val="both"/>
        <w:rPr>
          <w:rFonts w:asciiTheme="majorHAnsi" w:hAnsiTheme="majorHAnsi"/>
          <w:sz w:val="24"/>
          <w:szCs w:val="24"/>
        </w:rPr>
      </w:pPr>
      <w:r w:rsidRPr="008D2D86">
        <w:rPr>
          <w:rFonts w:asciiTheme="majorHAnsi" w:hAnsiTheme="majorHAnsi"/>
          <w:sz w:val="24"/>
          <w:szCs w:val="24"/>
        </w:rPr>
        <w:t>En los contratos de consultoría la garantía de cumplimiento se constituirá mediante retenciones equivalentes al diez por ciento (10%) de cada pago parcial por concepto</w:t>
      </w:r>
      <w:r w:rsidRPr="008D2D86">
        <w:rPr>
          <w:rFonts w:asciiTheme="majorHAnsi" w:hAnsiTheme="majorHAnsi"/>
          <w:color w:val="FF0000"/>
          <w:sz w:val="24"/>
          <w:szCs w:val="24"/>
        </w:rPr>
        <w:t xml:space="preserve">  </w:t>
      </w:r>
      <w:r w:rsidRPr="008D2D86">
        <w:rPr>
          <w:rFonts w:asciiTheme="majorHAnsi" w:hAnsiTheme="majorHAnsi"/>
          <w:sz w:val="24"/>
          <w:szCs w:val="24"/>
        </w:rPr>
        <w:t>de los honorarios. En los contratos para el diseño o supervisión de obras también será exigible una garantía equivalente al   quince por ciento (15%) de honorarios con exclusión de costos. Según Artículo 106 de la Ley de Contratación del Estado</w:t>
      </w:r>
    </w:p>
    <w:p w:rsidR="008D2D86" w:rsidRPr="008D2D86" w:rsidRDefault="008D2D86" w:rsidP="008D2D86">
      <w:pPr>
        <w:autoSpaceDE w:val="0"/>
        <w:autoSpaceDN w:val="0"/>
        <w:adjustRightInd w:val="0"/>
        <w:spacing w:after="60" w:line="276" w:lineRule="auto"/>
        <w:jc w:val="both"/>
        <w:rPr>
          <w:rFonts w:asciiTheme="majorHAnsi" w:hAnsiTheme="majorHAnsi"/>
          <w:sz w:val="24"/>
          <w:szCs w:val="24"/>
        </w:rPr>
      </w:pPr>
    </w:p>
    <w:p w:rsidR="008D2D86" w:rsidRPr="008D2D86" w:rsidRDefault="008D2D86" w:rsidP="008D2D86">
      <w:pPr>
        <w:tabs>
          <w:tab w:val="left" w:pos="1470"/>
        </w:tabs>
        <w:spacing w:after="60" w:line="276" w:lineRule="auto"/>
        <w:jc w:val="both"/>
        <w:rPr>
          <w:rFonts w:asciiTheme="majorHAnsi" w:hAnsiTheme="majorHAnsi"/>
          <w:b/>
          <w:sz w:val="24"/>
          <w:szCs w:val="24"/>
        </w:rPr>
      </w:pPr>
      <w:r w:rsidRPr="008D2D86">
        <w:rPr>
          <w:rFonts w:asciiTheme="majorHAnsi" w:hAnsiTheme="majorHAnsi"/>
          <w:b/>
          <w:sz w:val="24"/>
          <w:szCs w:val="24"/>
        </w:rPr>
        <w:t>XIII. MULTAS</w:t>
      </w:r>
    </w:p>
    <w:p w:rsidR="008D2D86" w:rsidRPr="008D2D86" w:rsidRDefault="008D2D86" w:rsidP="008D2D86">
      <w:pPr>
        <w:pStyle w:val="Pa2"/>
        <w:spacing w:after="60" w:line="276" w:lineRule="auto"/>
        <w:jc w:val="both"/>
        <w:rPr>
          <w:rFonts w:asciiTheme="majorHAnsi" w:hAnsiTheme="majorHAnsi"/>
          <w:i/>
        </w:rPr>
      </w:pPr>
      <w:r w:rsidRPr="008D2D86">
        <w:rPr>
          <w:rFonts w:asciiTheme="majorHAnsi" w:eastAsia="Calibri" w:hAnsiTheme="majorHAnsi"/>
          <w:spacing w:val="1"/>
        </w:rPr>
        <w:t>El contrato estará sujeto a lo establecido en el</w:t>
      </w:r>
      <w:r w:rsidRPr="008D2D86">
        <w:rPr>
          <w:rFonts w:asciiTheme="majorHAnsi" w:hAnsiTheme="majorHAnsi"/>
          <w:b/>
          <w:bCs/>
        </w:rPr>
        <w:t xml:space="preserve"> </w:t>
      </w:r>
      <w:r w:rsidRPr="008D2D86">
        <w:rPr>
          <w:rFonts w:asciiTheme="majorHAnsi" w:hAnsiTheme="majorHAnsi"/>
          <w:bCs/>
        </w:rPr>
        <w:t>ARTÍCULO 76 de las Disposiciones Generales del Presupuesto de Ingresos y Egresos de la República, ejercicio fiscal 2019, publicadas en el Diario Oficial La Gaceta el 20 de Diciembre de 2018, el cual establece que: “</w:t>
      </w:r>
      <w:r w:rsidRPr="008D2D86">
        <w:rPr>
          <w:rFonts w:asciiTheme="majorHAnsi" w:hAnsiTheme="majorHAnsi"/>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8D2D86" w:rsidRPr="008D2D86" w:rsidRDefault="008D2D86" w:rsidP="008D2D86">
      <w:pPr>
        <w:tabs>
          <w:tab w:val="left" w:pos="1470"/>
        </w:tabs>
        <w:spacing w:after="60" w:line="276" w:lineRule="auto"/>
        <w:jc w:val="both"/>
        <w:rPr>
          <w:rFonts w:asciiTheme="majorHAnsi" w:hAnsiTheme="majorHAnsi"/>
          <w:sz w:val="24"/>
          <w:szCs w:val="24"/>
        </w:rPr>
      </w:pPr>
    </w:p>
    <w:p w:rsidR="008D2D86" w:rsidRPr="008D2D86" w:rsidRDefault="008D2D86" w:rsidP="008D2D86">
      <w:pPr>
        <w:spacing w:after="60" w:line="276" w:lineRule="auto"/>
        <w:jc w:val="both"/>
        <w:rPr>
          <w:rFonts w:asciiTheme="majorHAnsi" w:hAnsiTheme="majorHAnsi"/>
          <w:b/>
          <w:sz w:val="24"/>
          <w:szCs w:val="24"/>
        </w:rPr>
      </w:pPr>
      <w:r w:rsidRPr="008D2D86">
        <w:rPr>
          <w:rFonts w:asciiTheme="majorHAnsi" w:hAnsiTheme="majorHAnsi"/>
          <w:b/>
          <w:sz w:val="24"/>
          <w:szCs w:val="24"/>
        </w:rPr>
        <w:t>XIV. CONDICIONES DE PARTICIPACIÓN</w:t>
      </w:r>
    </w:p>
    <w:p w:rsidR="008D2D86" w:rsidRPr="008D2D86" w:rsidRDefault="008D2D86" w:rsidP="008D2D86">
      <w:pPr>
        <w:spacing w:after="60" w:line="276" w:lineRule="auto"/>
        <w:jc w:val="both"/>
        <w:rPr>
          <w:rFonts w:asciiTheme="majorHAnsi" w:hAnsiTheme="majorHAnsi"/>
          <w:sz w:val="24"/>
          <w:szCs w:val="24"/>
        </w:rPr>
      </w:pPr>
      <w:r w:rsidRPr="008D2D86">
        <w:rPr>
          <w:rFonts w:asciiTheme="majorHAnsi" w:hAnsiTheme="majorHAnsi"/>
          <w:sz w:val="24"/>
          <w:szCs w:val="24"/>
        </w:rPr>
        <w:t xml:space="preserve">Los interesados en participar deberán entregar  en la Dirección General de Adquisiciones, ubicada en el Edificio Principal de la Secretaría de Educación Primera avenida entre segunda y tercera calle, Comayagüela M.D.C., Honduras, C.A., a más tardar a las </w:t>
      </w:r>
      <w:r w:rsidR="00AE715D">
        <w:rPr>
          <w:rFonts w:asciiTheme="majorHAnsi" w:hAnsiTheme="majorHAnsi"/>
          <w:sz w:val="24"/>
          <w:szCs w:val="24"/>
        </w:rPr>
        <w:t>1</w:t>
      </w:r>
      <w:r w:rsidRPr="008D2D86">
        <w:rPr>
          <w:rFonts w:asciiTheme="majorHAnsi" w:hAnsiTheme="majorHAnsi"/>
          <w:sz w:val="24"/>
          <w:szCs w:val="24"/>
        </w:rPr>
        <w:t xml:space="preserve">2:00 </w:t>
      </w:r>
      <w:r w:rsidR="00AE715D">
        <w:rPr>
          <w:rFonts w:asciiTheme="majorHAnsi" w:hAnsiTheme="majorHAnsi"/>
          <w:sz w:val="24"/>
          <w:szCs w:val="24"/>
        </w:rPr>
        <w:t>m</w:t>
      </w:r>
      <w:bookmarkStart w:id="1" w:name="_GoBack"/>
      <w:bookmarkEnd w:id="1"/>
      <w:r w:rsidRPr="008D2D86">
        <w:rPr>
          <w:rFonts w:asciiTheme="majorHAnsi" w:hAnsiTheme="majorHAnsi"/>
          <w:sz w:val="24"/>
          <w:szCs w:val="24"/>
        </w:rPr>
        <w:t xml:space="preserve">. del día </w:t>
      </w:r>
      <w:r w:rsidR="00AE715D">
        <w:rPr>
          <w:rFonts w:asciiTheme="majorHAnsi" w:hAnsiTheme="majorHAnsi"/>
          <w:sz w:val="24"/>
          <w:szCs w:val="24"/>
        </w:rPr>
        <w:t>Jueves 31 de Octubre</w:t>
      </w:r>
      <w:r w:rsidRPr="008D2D86">
        <w:rPr>
          <w:rFonts w:asciiTheme="majorHAnsi" w:hAnsiTheme="majorHAnsi"/>
          <w:sz w:val="24"/>
          <w:szCs w:val="24"/>
        </w:rPr>
        <w:t xml:space="preserve">  del año en curso, un sobre cerrado debidamente rotulado con su nombre completo, número de identidad, número y nombre del proceso para el cual desea aplicar, adjuntando lo siguiente:</w:t>
      </w:r>
    </w:p>
    <w:p w:rsidR="008D2D86" w:rsidRPr="008D2D86" w:rsidRDefault="008D2D86" w:rsidP="008D2D86">
      <w:pPr>
        <w:pStyle w:val="Prrafodelista"/>
        <w:numPr>
          <w:ilvl w:val="0"/>
          <w:numId w:val="12"/>
        </w:numPr>
        <w:spacing w:after="60" w:line="276" w:lineRule="auto"/>
        <w:jc w:val="both"/>
        <w:rPr>
          <w:rFonts w:asciiTheme="majorHAnsi" w:hAnsiTheme="majorHAnsi"/>
          <w:sz w:val="24"/>
          <w:szCs w:val="24"/>
        </w:rPr>
      </w:pPr>
      <w:r w:rsidRPr="008D2D86">
        <w:rPr>
          <w:rFonts w:asciiTheme="majorHAnsi" w:hAnsiTheme="majorHAnsi"/>
          <w:sz w:val="24"/>
          <w:szCs w:val="24"/>
        </w:rPr>
        <w:t>Currículo Vitae Profesional</w:t>
      </w:r>
    </w:p>
    <w:p w:rsidR="008D2D86" w:rsidRPr="008D2D86" w:rsidRDefault="008D2D86" w:rsidP="008D2D86">
      <w:pPr>
        <w:pStyle w:val="Prrafodelista"/>
        <w:numPr>
          <w:ilvl w:val="0"/>
          <w:numId w:val="12"/>
        </w:numPr>
        <w:spacing w:after="60" w:line="276" w:lineRule="auto"/>
        <w:jc w:val="both"/>
        <w:rPr>
          <w:rFonts w:asciiTheme="majorHAnsi" w:hAnsiTheme="majorHAnsi"/>
          <w:sz w:val="24"/>
          <w:szCs w:val="24"/>
        </w:rPr>
      </w:pPr>
      <w:r w:rsidRPr="008D2D86">
        <w:rPr>
          <w:rFonts w:asciiTheme="majorHAnsi" w:hAnsiTheme="majorHAnsi"/>
          <w:sz w:val="24"/>
          <w:szCs w:val="24"/>
        </w:rPr>
        <w:lastRenderedPageBreak/>
        <w:t>Copias de Títulos Diplomas referidos en el Currículo (no se tomaran en cuenta los currículos que no adjunten esta documentación, ya que la misma servirá de base para la ponderación)</w:t>
      </w:r>
    </w:p>
    <w:p w:rsidR="008D2D86" w:rsidRPr="008D2D86" w:rsidRDefault="008D2D86" w:rsidP="008D2D86">
      <w:pPr>
        <w:pStyle w:val="Prrafodelista"/>
        <w:numPr>
          <w:ilvl w:val="0"/>
          <w:numId w:val="12"/>
        </w:numPr>
        <w:spacing w:after="60" w:line="276" w:lineRule="auto"/>
        <w:jc w:val="both"/>
        <w:rPr>
          <w:rFonts w:asciiTheme="majorHAnsi" w:hAnsiTheme="majorHAnsi"/>
          <w:sz w:val="24"/>
          <w:szCs w:val="24"/>
        </w:rPr>
      </w:pPr>
      <w:r w:rsidRPr="008D2D86">
        <w:rPr>
          <w:rFonts w:asciiTheme="majorHAnsi" w:hAnsiTheme="majorHAnsi"/>
          <w:sz w:val="24"/>
          <w:szCs w:val="24"/>
        </w:rPr>
        <w:t>Copia de la Tarjeta de Identidad</w:t>
      </w:r>
    </w:p>
    <w:p w:rsidR="008D2D86" w:rsidRPr="008D2D86" w:rsidRDefault="008D2D86" w:rsidP="008D2D86">
      <w:pPr>
        <w:pStyle w:val="Prrafodelista"/>
        <w:numPr>
          <w:ilvl w:val="0"/>
          <w:numId w:val="12"/>
        </w:numPr>
        <w:spacing w:after="60" w:line="276" w:lineRule="auto"/>
        <w:jc w:val="both"/>
        <w:rPr>
          <w:rFonts w:asciiTheme="majorHAnsi" w:hAnsiTheme="majorHAnsi"/>
          <w:sz w:val="24"/>
          <w:szCs w:val="24"/>
        </w:rPr>
      </w:pPr>
      <w:r w:rsidRPr="008D2D86">
        <w:rPr>
          <w:rFonts w:asciiTheme="majorHAnsi" w:hAnsiTheme="majorHAnsi"/>
          <w:sz w:val="24"/>
          <w:szCs w:val="24"/>
        </w:rPr>
        <w:t>Copia de PIN SIAFI (si no lo tiene puede tramitarlo posteriormente)</w:t>
      </w:r>
    </w:p>
    <w:p w:rsidR="008D2D86" w:rsidRPr="008D2D86" w:rsidRDefault="008D2D86" w:rsidP="008D2D86">
      <w:pPr>
        <w:pStyle w:val="Prrafodelista"/>
        <w:numPr>
          <w:ilvl w:val="0"/>
          <w:numId w:val="12"/>
        </w:numPr>
        <w:spacing w:after="60" w:line="276" w:lineRule="auto"/>
        <w:jc w:val="both"/>
        <w:rPr>
          <w:rFonts w:asciiTheme="majorHAnsi" w:hAnsiTheme="majorHAnsi"/>
          <w:sz w:val="24"/>
          <w:szCs w:val="24"/>
        </w:rPr>
      </w:pPr>
      <w:r w:rsidRPr="008D2D86">
        <w:rPr>
          <w:rFonts w:asciiTheme="majorHAnsi" w:hAnsiTheme="majorHAnsi"/>
          <w:sz w:val="24"/>
          <w:szCs w:val="24"/>
        </w:rPr>
        <w:t>Los interesados deberán estar suscritos al nuevo régimen de facturación (si aún no están inscritos podrán realizar el trámite posteriormente).</w:t>
      </w:r>
    </w:p>
    <w:p w:rsidR="008D2D86" w:rsidRPr="008D2D86" w:rsidRDefault="008D2D86" w:rsidP="008D2D86">
      <w:pPr>
        <w:pStyle w:val="Prrafodelista"/>
        <w:numPr>
          <w:ilvl w:val="0"/>
          <w:numId w:val="12"/>
        </w:numPr>
        <w:spacing w:after="60" w:line="276" w:lineRule="auto"/>
        <w:jc w:val="both"/>
        <w:rPr>
          <w:rFonts w:asciiTheme="majorHAnsi" w:hAnsiTheme="majorHAnsi"/>
          <w:sz w:val="24"/>
          <w:szCs w:val="24"/>
        </w:rPr>
      </w:pPr>
      <w:r w:rsidRPr="008D2D86">
        <w:rPr>
          <w:rFonts w:asciiTheme="majorHAnsi" w:hAnsiTheme="majorHAnsi"/>
          <w:sz w:val="24"/>
          <w:szCs w:val="24"/>
        </w:rPr>
        <w:t>Disponibilidad inmediata y de tiempo completo</w:t>
      </w:r>
    </w:p>
    <w:p w:rsidR="008D2D86" w:rsidRPr="008D2D86" w:rsidRDefault="008D2D86" w:rsidP="008D2D86">
      <w:pPr>
        <w:pStyle w:val="Prrafodelista"/>
        <w:numPr>
          <w:ilvl w:val="0"/>
          <w:numId w:val="12"/>
        </w:numPr>
        <w:spacing w:after="60" w:line="276" w:lineRule="auto"/>
        <w:jc w:val="both"/>
        <w:rPr>
          <w:rFonts w:asciiTheme="majorHAnsi" w:hAnsiTheme="majorHAnsi"/>
          <w:sz w:val="24"/>
          <w:szCs w:val="24"/>
        </w:rPr>
      </w:pPr>
      <w:r w:rsidRPr="008D2D86">
        <w:rPr>
          <w:rFonts w:asciiTheme="majorHAnsi" w:hAnsiTheme="majorHAnsi"/>
          <w:sz w:val="24"/>
          <w:szCs w:val="24"/>
        </w:rPr>
        <w:t>Copia de Tarjeta de Identidad.</w:t>
      </w:r>
    </w:p>
    <w:p w:rsidR="008D2D86" w:rsidRPr="008D2D86" w:rsidRDefault="008D2D86" w:rsidP="008D2D86">
      <w:pPr>
        <w:pStyle w:val="Prrafodelista"/>
        <w:numPr>
          <w:ilvl w:val="0"/>
          <w:numId w:val="12"/>
        </w:numPr>
        <w:spacing w:after="60" w:line="276" w:lineRule="auto"/>
        <w:jc w:val="both"/>
        <w:rPr>
          <w:rFonts w:asciiTheme="majorHAnsi" w:hAnsiTheme="majorHAnsi"/>
          <w:sz w:val="24"/>
          <w:szCs w:val="24"/>
        </w:rPr>
      </w:pPr>
      <w:r w:rsidRPr="008D2D86">
        <w:rPr>
          <w:rFonts w:asciiTheme="majorHAnsi" w:hAnsiTheme="majorHAnsi"/>
          <w:sz w:val="24"/>
          <w:szCs w:val="24"/>
        </w:rPr>
        <w:t xml:space="preserve">Constancia de Colegiación y solvencia. </w:t>
      </w:r>
    </w:p>
    <w:p w:rsidR="008D2D86" w:rsidRPr="008D2D86" w:rsidRDefault="008D2D86" w:rsidP="008D2D86">
      <w:pPr>
        <w:pStyle w:val="Prrafodelista"/>
        <w:numPr>
          <w:ilvl w:val="0"/>
          <w:numId w:val="12"/>
        </w:numPr>
        <w:spacing w:after="60" w:line="276" w:lineRule="auto"/>
        <w:jc w:val="both"/>
        <w:rPr>
          <w:rFonts w:asciiTheme="majorHAnsi" w:hAnsiTheme="majorHAnsi"/>
          <w:sz w:val="24"/>
          <w:szCs w:val="24"/>
        </w:rPr>
      </w:pPr>
      <w:r w:rsidRPr="008D2D86">
        <w:rPr>
          <w:rFonts w:asciiTheme="majorHAnsi" w:hAnsiTheme="majorHAnsi"/>
          <w:sz w:val="24"/>
          <w:szCs w:val="24"/>
        </w:rPr>
        <w:t>Fotocopia de RTN.</w:t>
      </w:r>
    </w:p>
    <w:p w:rsidR="008D2D86" w:rsidRPr="008E5D2C" w:rsidRDefault="008D2D86" w:rsidP="008D2D86">
      <w:pPr>
        <w:tabs>
          <w:tab w:val="left" w:pos="426"/>
        </w:tabs>
        <w:ind w:left="284"/>
        <w:jc w:val="both"/>
      </w:pPr>
    </w:p>
    <w:p w:rsidR="004F2433" w:rsidRDefault="004F2433">
      <w:pPr>
        <w:spacing w:after="0" w:line="240" w:lineRule="auto"/>
        <w:jc w:val="both"/>
        <w:rPr>
          <w:rFonts w:ascii="Times New Roman" w:eastAsia="Times New Roman" w:hAnsi="Times New Roman" w:cs="Times New Roman"/>
          <w:b/>
          <w:sz w:val="24"/>
          <w:szCs w:val="24"/>
        </w:rPr>
      </w:pPr>
    </w:p>
    <w:p w:rsidR="004F2433" w:rsidRDefault="004F2433" w:rsidP="008D2D86">
      <w:pPr>
        <w:pBdr>
          <w:top w:val="nil"/>
          <w:left w:val="nil"/>
          <w:bottom w:val="nil"/>
          <w:right w:val="nil"/>
          <w:between w:val="nil"/>
        </w:pBdr>
        <w:spacing w:after="80" w:line="240" w:lineRule="auto"/>
        <w:jc w:val="both"/>
        <w:rPr>
          <w:color w:val="000000"/>
          <w:sz w:val="24"/>
          <w:szCs w:val="24"/>
        </w:rPr>
      </w:pPr>
    </w:p>
    <w:sectPr w:rsidR="004F2433">
      <w:headerReference w:type="default" r:id="rId9"/>
      <w:pgSz w:w="12240" w:h="15840"/>
      <w:pgMar w:top="1134" w:right="1701" w:bottom="1134" w:left="1701" w:header="1077"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511" w:rsidRDefault="00494511">
      <w:pPr>
        <w:spacing w:after="0" w:line="240" w:lineRule="auto"/>
      </w:pPr>
      <w:r>
        <w:separator/>
      </w:r>
    </w:p>
  </w:endnote>
  <w:endnote w:type="continuationSeparator" w:id="0">
    <w:p w:rsidR="00494511" w:rsidRDefault="00494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511" w:rsidRDefault="00494511">
      <w:pPr>
        <w:spacing w:after="0" w:line="240" w:lineRule="auto"/>
      </w:pPr>
      <w:r>
        <w:separator/>
      </w:r>
    </w:p>
  </w:footnote>
  <w:footnote w:type="continuationSeparator" w:id="0">
    <w:p w:rsidR="00494511" w:rsidRDefault="00494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433" w:rsidRDefault="00D7666E">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1692587</wp:posOffset>
          </wp:positionH>
          <wp:positionV relativeFrom="paragraph">
            <wp:posOffset>-461642</wp:posOffset>
          </wp:positionV>
          <wp:extent cx="2226955" cy="895350"/>
          <wp:effectExtent l="0" t="0" r="0" b="0"/>
          <wp:wrapNone/>
          <wp:docPr id="4" name="image1.png" descr="Imagen relacionada"/>
          <wp:cNvGraphicFramePr/>
          <a:graphic xmlns:a="http://schemas.openxmlformats.org/drawingml/2006/main">
            <a:graphicData uri="http://schemas.openxmlformats.org/drawingml/2006/picture">
              <pic:pic xmlns:pic="http://schemas.openxmlformats.org/drawingml/2006/picture">
                <pic:nvPicPr>
                  <pic:cNvPr id="0" name="image1.png" descr="Imagen relacionada"/>
                  <pic:cNvPicPr preferRelativeResize="0"/>
                </pic:nvPicPr>
                <pic:blipFill>
                  <a:blip r:embed="rId1"/>
                  <a:srcRect/>
                  <a:stretch>
                    <a:fillRect/>
                  </a:stretch>
                </pic:blipFill>
                <pic:spPr>
                  <a:xfrm>
                    <a:off x="0" y="0"/>
                    <a:ext cx="2226955" cy="895350"/>
                  </a:xfrm>
                  <a:prstGeom prst="rect">
                    <a:avLst/>
                  </a:prstGeom>
                  <a:ln/>
                </pic:spPr>
              </pic:pic>
            </a:graphicData>
          </a:graphic>
        </wp:anchor>
      </w:drawing>
    </w:r>
  </w:p>
  <w:p w:rsidR="004F2433" w:rsidRDefault="004F2433">
    <w:pPr>
      <w:pBdr>
        <w:top w:val="nil"/>
        <w:left w:val="nil"/>
        <w:bottom w:val="nil"/>
        <w:right w:val="nil"/>
        <w:between w:val="nil"/>
      </w:pBdr>
      <w:tabs>
        <w:tab w:val="center" w:pos="4252"/>
        <w:tab w:val="right" w:pos="8504"/>
      </w:tabs>
      <w:spacing w:after="0" w:line="240" w:lineRule="auto"/>
      <w:rPr>
        <w:color w:val="000000"/>
      </w:rPr>
    </w:pPr>
  </w:p>
  <w:p w:rsidR="004F2433" w:rsidRDefault="004F2433">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59AA"/>
    <w:multiLevelType w:val="multilevel"/>
    <w:tmpl w:val="3B326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FB2B55"/>
    <w:multiLevelType w:val="multilevel"/>
    <w:tmpl w:val="0AEA2510"/>
    <w:lvl w:ilvl="0">
      <w:start w:val="1"/>
      <w:numFmt w:val="decimal"/>
      <w:pStyle w:val="Ttulo1"/>
      <w:lvlText w:val="%1."/>
      <w:lvlJc w:val="left"/>
      <w:pPr>
        <w:ind w:left="360" w:hanging="360"/>
      </w:pPr>
    </w:lvl>
    <w:lvl w:ilvl="1">
      <w:start w:val="1"/>
      <w:numFmt w:val="lowerLetter"/>
      <w:pStyle w:val="Ttulo2"/>
      <w:lvlText w:val="%2."/>
      <w:lvlJc w:val="left"/>
      <w:pPr>
        <w:ind w:left="1080" w:hanging="360"/>
      </w:pPr>
    </w:lvl>
    <w:lvl w:ilvl="2">
      <w:start w:val="1"/>
      <w:numFmt w:val="lowerRoman"/>
      <w:pStyle w:val="Ttulo3"/>
      <w:lvlText w:val="%3."/>
      <w:lvlJc w:val="right"/>
      <w:pPr>
        <w:ind w:left="1800" w:hanging="180"/>
      </w:pPr>
    </w:lvl>
    <w:lvl w:ilvl="3">
      <w:start w:val="1"/>
      <w:numFmt w:val="decimal"/>
      <w:pStyle w:val="Ttulo4"/>
      <w:lvlText w:val="%4."/>
      <w:lvlJc w:val="left"/>
      <w:pPr>
        <w:ind w:left="2520" w:hanging="360"/>
      </w:pPr>
    </w:lvl>
    <w:lvl w:ilvl="4">
      <w:start w:val="1"/>
      <w:numFmt w:val="lowerLetter"/>
      <w:pStyle w:val="Ttulo5"/>
      <w:lvlText w:val="%5."/>
      <w:lvlJc w:val="left"/>
      <w:pPr>
        <w:ind w:left="3240" w:hanging="360"/>
      </w:pPr>
    </w:lvl>
    <w:lvl w:ilvl="5">
      <w:start w:val="1"/>
      <w:numFmt w:val="lowerRoman"/>
      <w:pStyle w:val="Ttulo6"/>
      <w:lvlText w:val="%6."/>
      <w:lvlJc w:val="right"/>
      <w:pPr>
        <w:ind w:left="3960" w:hanging="180"/>
      </w:pPr>
    </w:lvl>
    <w:lvl w:ilvl="6">
      <w:start w:val="1"/>
      <w:numFmt w:val="decimal"/>
      <w:pStyle w:val="Ttulo7"/>
      <w:lvlText w:val="%7."/>
      <w:lvlJc w:val="left"/>
      <w:pPr>
        <w:ind w:left="4680" w:hanging="360"/>
      </w:pPr>
    </w:lvl>
    <w:lvl w:ilvl="7">
      <w:start w:val="1"/>
      <w:numFmt w:val="lowerLetter"/>
      <w:pStyle w:val="Ttulo8"/>
      <w:lvlText w:val="%8."/>
      <w:lvlJc w:val="left"/>
      <w:pPr>
        <w:ind w:left="5400" w:hanging="360"/>
      </w:pPr>
    </w:lvl>
    <w:lvl w:ilvl="8">
      <w:start w:val="1"/>
      <w:numFmt w:val="lowerRoman"/>
      <w:pStyle w:val="Ttulo9"/>
      <w:lvlText w:val="%9."/>
      <w:lvlJc w:val="right"/>
      <w:pPr>
        <w:ind w:left="6120" w:hanging="180"/>
      </w:pPr>
    </w:lvl>
  </w:abstractNum>
  <w:abstractNum w:abstractNumId="2">
    <w:nsid w:val="24AA52A5"/>
    <w:multiLevelType w:val="multilevel"/>
    <w:tmpl w:val="7FDECB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FC71134"/>
    <w:multiLevelType w:val="multilevel"/>
    <w:tmpl w:val="7CD2F4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89E4F61"/>
    <w:multiLevelType w:val="hybridMultilevel"/>
    <w:tmpl w:val="AE404964"/>
    <w:lvl w:ilvl="0" w:tplc="480A0019">
      <w:start w:val="24"/>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3D162DD8"/>
    <w:multiLevelType w:val="multilevel"/>
    <w:tmpl w:val="C318E4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E841D85"/>
    <w:multiLevelType w:val="multilevel"/>
    <w:tmpl w:val="504A77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58C5936"/>
    <w:multiLevelType w:val="multilevel"/>
    <w:tmpl w:val="4B5688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48077C19"/>
    <w:multiLevelType w:val="hybridMultilevel"/>
    <w:tmpl w:val="E9A61D66"/>
    <w:lvl w:ilvl="0" w:tplc="283E5B38">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489A0698"/>
    <w:multiLevelType w:val="multilevel"/>
    <w:tmpl w:val="6BB46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B205A75"/>
    <w:multiLevelType w:val="multilevel"/>
    <w:tmpl w:val="20AA68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6657715E"/>
    <w:multiLevelType w:val="hybridMultilevel"/>
    <w:tmpl w:val="B39293CE"/>
    <w:lvl w:ilvl="0" w:tplc="2D1CDEBE">
      <w:start w:val="1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67CA09E6"/>
    <w:multiLevelType w:val="hybridMultilevel"/>
    <w:tmpl w:val="ADE0F58C"/>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nsid w:val="6F317A56"/>
    <w:multiLevelType w:val="multilevel"/>
    <w:tmpl w:val="3628E7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7337683C"/>
    <w:multiLevelType w:val="hybridMultilevel"/>
    <w:tmpl w:val="83B8BDA4"/>
    <w:lvl w:ilvl="0" w:tplc="480A0015">
      <w:start w:val="24"/>
      <w:numFmt w:val="upp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7"/>
  </w:num>
  <w:num w:numId="6">
    <w:abstractNumId w:val="3"/>
  </w:num>
  <w:num w:numId="7">
    <w:abstractNumId w:val="10"/>
  </w:num>
  <w:num w:numId="8">
    <w:abstractNumId w:val="14"/>
  </w:num>
  <w:num w:numId="9">
    <w:abstractNumId w:val="6"/>
  </w:num>
  <w:num w:numId="10">
    <w:abstractNumId w:val="9"/>
  </w:num>
  <w:num w:numId="11">
    <w:abstractNumId w:val="8"/>
  </w:num>
  <w:num w:numId="12">
    <w:abstractNumId w:val="13"/>
  </w:num>
  <w:num w:numId="13">
    <w:abstractNumId w:val="4"/>
  </w:num>
  <w:num w:numId="14">
    <w:abstractNumId w:val="1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33"/>
    <w:rsid w:val="000312DB"/>
    <w:rsid w:val="001274ED"/>
    <w:rsid w:val="00494511"/>
    <w:rsid w:val="004975C0"/>
    <w:rsid w:val="004F2433"/>
    <w:rsid w:val="005C5BCE"/>
    <w:rsid w:val="0083155C"/>
    <w:rsid w:val="008C6A66"/>
    <w:rsid w:val="008D2D86"/>
    <w:rsid w:val="00A8655D"/>
    <w:rsid w:val="00AE715D"/>
    <w:rsid w:val="00D7666E"/>
    <w:rsid w:val="00E22774"/>
    <w:rsid w:val="00ED1BFA"/>
    <w:rsid w:val="00F3222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121CA-AAC9-471A-B176-3BD728E1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471065"/>
    <w:pPr>
      <w:widowControl w:val="0"/>
      <w:numPr>
        <w:numId w:val="1"/>
      </w:numPr>
      <w:autoSpaceDE w:val="0"/>
      <w:autoSpaceDN w:val="0"/>
      <w:spacing w:after="0" w:line="240" w:lineRule="auto"/>
      <w:outlineLvl w:val="0"/>
    </w:pPr>
    <w:rPr>
      <w:rFonts w:ascii="Trebuchet MS" w:eastAsia="Trebuchet MS" w:hAnsi="Trebuchet MS" w:cs="Trebuchet MS"/>
      <w:b/>
      <w:bCs/>
      <w:sz w:val="24"/>
      <w:szCs w:val="24"/>
      <w:lang w:bidi="es-HN"/>
    </w:rPr>
  </w:style>
  <w:style w:type="paragraph" w:styleId="Ttulo2">
    <w:name w:val="heading 2"/>
    <w:basedOn w:val="Normal"/>
    <w:next w:val="Normal"/>
    <w:link w:val="Ttulo2Car"/>
    <w:uiPriority w:val="9"/>
    <w:semiHidden/>
    <w:unhideWhenUsed/>
    <w:qFormat/>
    <w:rsid w:val="00D60551"/>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D60551"/>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60551"/>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60551"/>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semiHidden/>
    <w:unhideWhenUsed/>
    <w:qFormat/>
    <w:rsid w:val="00D60551"/>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semiHidden/>
    <w:unhideWhenUsed/>
    <w:qFormat/>
    <w:rsid w:val="00D6055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6055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6055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9920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2021"/>
  </w:style>
  <w:style w:type="paragraph" w:styleId="Piedepgina">
    <w:name w:val="footer"/>
    <w:basedOn w:val="Normal"/>
    <w:link w:val="PiedepginaCar"/>
    <w:uiPriority w:val="99"/>
    <w:unhideWhenUsed/>
    <w:rsid w:val="009920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2021"/>
  </w:style>
  <w:style w:type="paragraph" w:styleId="Prrafodelista">
    <w:name w:val="List Paragraph"/>
    <w:basedOn w:val="Normal"/>
    <w:link w:val="PrrafodelistaCar"/>
    <w:uiPriority w:val="34"/>
    <w:qFormat/>
    <w:rsid w:val="007E669D"/>
    <w:pPr>
      <w:ind w:left="720"/>
      <w:contextualSpacing/>
    </w:pPr>
  </w:style>
  <w:style w:type="paragraph" w:styleId="Textoindependiente">
    <w:name w:val="Body Text"/>
    <w:basedOn w:val="Normal"/>
    <w:link w:val="TextoindependienteCar"/>
    <w:uiPriority w:val="1"/>
    <w:qFormat/>
    <w:rsid w:val="007E669D"/>
    <w:pPr>
      <w:widowControl w:val="0"/>
      <w:autoSpaceDE w:val="0"/>
      <w:autoSpaceDN w:val="0"/>
      <w:spacing w:after="0" w:line="240" w:lineRule="auto"/>
    </w:pPr>
    <w:rPr>
      <w:rFonts w:ascii="Arial" w:eastAsia="Arial" w:hAnsi="Arial" w:cs="Arial"/>
      <w:sz w:val="24"/>
      <w:szCs w:val="24"/>
      <w:lang w:bidi="es-HN"/>
    </w:rPr>
  </w:style>
  <w:style w:type="character" w:customStyle="1" w:styleId="TextoindependienteCar">
    <w:name w:val="Texto independiente Car"/>
    <w:basedOn w:val="Fuentedeprrafopredeter"/>
    <w:link w:val="Textoindependiente"/>
    <w:uiPriority w:val="1"/>
    <w:rsid w:val="007E669D"/>
    <w:rPr>
      <w:rFonts w:ascii="Arial" w:eastAsia="Arial" w:hAnsi="Arial" w:cs="Arial"/>
      <w:sz w:val="24"/>
      <w:szCs w:val="24"/>
      <w:lang w:eastAsia="es-HN" w:bidi="es-HN"/>
    </w:rPr>
  </w:style>
  <w:style w:type="character" w:styleId="Refdecomentario">
    <w:name w:val="annotation reference"/>
    <w:basedOn w:val="Fuentedeprrafopredeter"/>
    <w:uiPriority w:val="99"/>
    <w:semiHidden/>
    <w:unhideWhenUsed/>
    <w:rsid w:val="00C67930"/>
    <w:rPr>
      <w:sz w:val="16"/>
      <w:szCs w:val="16"/>
    </w:rPr>
  </w:style>
  <w:style w:type="paragraph" w:styleId="Textocomentario">
    <w:name w:val="annotation text"/>
    <w:basedOn w:val="Normal"/>
    <w:link w:val="TextocomentarioCar"/>
    <w:uiPriority w:val="99"/>
    <w:semiHidden/>
    <w:unhideWhenUsed/>
    <w:rsid w:val="00C6793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930"/>
    <w:rPr>
      <w:sz w:val="20"/>
      <w:szCs w:val="20"/>
    </w:rPr>
  </w:style>
  <w:style w:type="paragraph" w:styleId="Asuntodelcomentario">
    <w:name w:val="annotation subject"/>
    <w:basedOn w:val="Textocomentario"/>
    <w:next w:val="Textocomentario"/>
    <w:link w:val="AsuntodelcomentarioCar"/>
    <w:uiPriority w:val="99"/>
    <w:semiHidden/>
    <w:unhideWhenUsed/>
    <w:rsid w:val="00C67930"/>
    <w:rPr>
      <w:b/>
      <w:bCs/>
    </w:rPr>
  </w:style>
  <w:style w:type="character" w:customStyle="1" w:styleId="AsuntodelcomentarioCar">
    <w:name w:val="Asunto del comentario Car"/>
    <w:basedOn w:val="TextocomentarioCar"/>
    <w:link w:val="Asuntodelcomentario"/>
    <w:uiPriority w:val="99"/>
    <w:semiHidden/>
    <w:rsid w:val="00C67930"/>
    <w:rPr>
      <w:b/>
      <w:bCs/>
      <w:sz w:val="20"/>
      <w:szCs w:val="20"/>
    </w:rPr>
  </w:style>
  <w:style w:type="paragraph" w:styleId="Textodeglobo">
    <w:name w:val="Balloon Text"/>
    <w:basedOn w:val="Normal"/>
    <w:link w:val="TextodegloboCar"/>
    <w:uiPriority w:val="99"/>
    <w:semiHidden/>
    <w:unhideWhenUsed/>
    <w:rsid w:val="00C679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7930"/>
    <w:rPr>
      <w:rFonts w:ascii="Segoe UI" w:hAnsi="Segoe UI" w:cs="Segoe UI"/>
      <w:sz w:val="18"/>
      <w:szCs w:val="18"/>
    </w:rPr>
  </w:style>
  <w:style w:type="paragraph" w:styleId="Sinespaciado">
    <w:name w:val="No Spacing"/>
    <w:uiPriority w:val="1"/>
    <w:qFormat/>
    <w:rsid w:val="001C4EB6"/>
    <w:pPr>
      <w:spacing w:after="0" w:line="240" w:lineRule="auto"/>
    </w:pPr>
  </w:style>
  <w:style w:type="paragraph" w:customStyle="1" w:styleId="Default">
    <w:name w:val="Default"/>
    <w:rsid w:val="001C4EB6"/>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1"/>
    <w:rsid w:val="00471065"/>
    <w:rPr>
      <w:rFonts w:ascii="Trebuchet MS" w:eastAsia="Trebuchet MS" w:hAnsi="Trebuchet MS" w:cs="Trebuchet MS"/>
      <w:b/>
      <w:bCs/>
      <w:sz w:val="24"/>
      <w:szCs w:val="24"/>
      <w:lang w:eastAsia="es-HN" w:bidi="es-HN"/>
    </w:rPr>
  </w:style>
  <w:style w:type="paragraph" w:styleId="NormalWeb">
    <w:name w:val="Normal (Web)"/>
    <w:basedOn w:val="Normal"/>
    <w:uiPriority w:val="99"/>
    <w:unhideWhenUsed/>
    <w:rsid w:val="004710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Sangradetextonormal"/>
    <w:rsid w:val="00F17972"/>
    <w:pPr>
      <w:spacing w:before="120" w:line="240" w:lineRule="auto"/>
      <w:ind w:left="0"/>
      <w:jc w:val="both"/>
      <w:outlineLvl w:val="1"/>
    </w:pPr>
    <w:rPr>
      <w:rFonts w:ascii="Times New Roman" w:eastAsia="Times New Roman" w:hAnsi="Times New Roman" w:cs="Times New Roman"/>
      <w:sz w:val="24"/>
      <w:szCs w:val="20"/>
      <w:lang w:val="en-US"/>
    </w:rPr>
  </w:style>
  <w:style w:type="paragraph" w:styleId="Sangradetextonormal">
    <w:name w:val="Body Text Indent"/>
    <w:basedOn w:val="Normal"/>
    <w:link w:val="SangradetextonormalCar"/>
    <w:uiPriority w:val="99"/>
    <w:semiHidden/>
    <w:unhideWhenUsed/>
    <w:rsid w:val="00F17972"/>
    <w:pPr>
      <w:spacing w:after="120"/>
      <w:ind w:left="283"/>
    </w:pPr>
  </w:style>
  <w:style w:type="character" w:customStyle="1" w:styleId="SangradetextonormalCar">
    <w:name w:val="Sangría de texto normal Car"/>
    <w:basedOn w:val="Fuentedeprrafopredeter"/>
    <w:link w:val="Sangradetextonormal"/>
    <w:uiPriority w:val="99"/>
    <w:semiHidden/>
    <w:rsid w:val="00F17972"/>
  </w:style>
  <w:style w:type="character" w:styleId="Hipervnculo">
    <w:name w:val="Hyperlink"/>
    <w:basedOn w:val="Fuentedeprrafopredeter"/>
    <w:uiPriority w:val="99"/>
    <w:rsid w:val="00C82712"/>
    <w:rPr>
      <w:color w:val="0000FF"/>
      <w:u w:val="single"/>
    </w:rPr>
  </w:style>
  <w:style w:type="paragraph" w:customStyle="1" w:styleId="Pa2">
    <w:name w:val="Pa2"/>
    <w:basedOn w:val="Normal"/>
    <w:next w:val="Normal"/>
    <w:uiPriority w:val="99"/>
    <w:rsid w:val="00AC6FA1"/>
    <w:pPr>
      <w:autoSpaceDE w:val="0"/>
      <w:autoSpaceDN w:val="0"/>
      <w:adjustRightInd w:val="0"/>
      <w:spacing w:after="0" w:line="241" w:lineRule="atLeast"/>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semiHidden/>
    <w:rsid w:val="00D60551"/>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D60551"/>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semiHidden/>
    <w:rsid w:val="00D60551"/>
    <w:rPr>
      <w:rFonts w:asciiTheme="majorHAnsi" w:eastAsiaTheme="majorEastAsia" w:hAnsiTheme="majorHAnsi" w:cstheme="majorBidi"/>
      <w:b/>
      <w:bCs/>
      <w:i/>
      <w:iCs/>
      <w:color w:val="4472C4" w:themeColor="accent1"/>
    </w:rPr>
  </w:style>
  <w:style w:type="character" w:customStyle="1" w:styleId="Ttulo5Car">
    <w:name w:val="Título 5 Car"/>
    <w:basedOn w:val="Fuentedeprrafopredeter"/>
    <w:link w:val="Ttulo5"/>
    <w:uiPriority w:val="9"/>
    <w:semiHidden/>
    <w:rsid w:val="00D60551"/>
    <w:rPr>
      <w:rFonts w:asciiTheme="majorHAnsi" w:eastAsiaTheme="majorEastAsia" w:hAnsiTheme="majorHAnsi" w:cstheme="majorBidi"/>
      <w:color w:val="1F3763" w:themeColor="accent1" w:themeShade="7F"/>
    </w:rPr>
  </w:style>
  <w:style w:type="character" w:customStyle="1" w:styleId="Ttulo6Car">
    <w:name w:val="Título 6 Car"/>
    <w:basedOn w:val="Fuentedeprrafopredeter"/>
    <w:link w:val="Ttulo6"/>
    <w:uiPriority w:val="9"/>
    <w:semiHidden/>
    <w:rsid w:val="00D60551"/>
    <w:rPr>
      <w:rFonts w:asciiTheme="majorHAnsi" w:eastAsiaTheme="majorEastAsia" w:hAnsiTheme="majorHAnsi" w:cstheme="majorBidi"/>
      <w:i/>
      <w:iCs/>
      <w:color w:val="1F3763" w:themeColor="accent1" w:themeShade="7F"/>
    </w:rPr>
  </w:style>
  <w:style w:type="character" w:customStyle="1" w:styleId="Ttulo7Car">
    <w:name w:val="Título 7 Car"/>
    <w:basedOn w:val="Fuentedeprrafopredeter"/>
    <w:link w:val="Ttulo7"/>
    <w:uiPriority w:val="9"/>
    <w:semiHidden/>
    <w:rsid w:val="00D60551"/>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60551"/>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60551"/>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Fuentedeprrafopredeter"/>
    <w:rsid w:val="00845D26"/>
  </w:style>
  <w:style w:type="character" w:styleId="Textoennegrita">
    <w:name w:val="Strong"/>
    <w:basedOn w:val="Fuentedeprrafopredeter"/>
    <w:uiPriority w:val="22"/>
    <w:qFormat/>
    <w:rsid w:val="00650272"/>
    <w:rPr>
      <w:b/>
      <w:bCs/>
    </w:rPr>
  </w:style>
  <w:style w:type="character" w:customStyle="1" w:styleId="PrrafodelistaCar">
    <w:name w:val="Párrafo de lista Car"/>
    <w:basedOn w:val="Fuentedeprrafopredeter"/>
    <w:link w:val="Prrafodelista"/>
    <w:uiPriority w:val="34"/>
    <w:locked/>
    <w:rsid w:val="004E10FD"/>
  </w:style>
  <w:style w:type="table" w:styleId="Tablaconcuadrcula">
    <w:name w:val="Table Grid"/>
    <w:basedOn w:val="Tablanormal"/>
    <w:uiPriority w:val="39"/>
    <w:rsid w:val="00E14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lheraldo.hn/content/view/full/467647" TargetMode="External"/><Relationship Id="rId3" Type="http://schemas.openxmlformats.org/officeDocument/2006/relationships/settings" Target="settings.xml"/><Relationship Id="rId7" Type="http://schemas.openxmlformats.org/officeDocument/2006/relationships/hyperlink" Target="http://www.elheraldo.hn/Ediciones/2011/03/01/Noticias/Ventura-habla-sobre-crisis-educativa-en-Hondur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2766</Words>
  <Characters>15215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Zonia Lopez</dc:creator>
  <cp:lastModifiedBy>Thesla María Pinto Bustillo</cp:lastModifiedBy>
  <cp:revision>3</cp:revision>
  <cp:lastPrinted>2019-10-16T21:20:00Z</cp:lastPrinted>
  <dcterms:created xsi:type="dcterms:W3CDTF">2019-10-17T16:50:00Z</dcterms:created>
  <dcterms:modified xsi:type="dcterms:W3CDTF">2019-10-28T17:10:00Z</dcterms:modified>
</cp:coreProperties>
</file>