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E1" w:rsidRDefault="00734438">
      <w:pPr>
        <w:rPr>
          <w:rFonts w:ascii="Century Gothic" w:eastAsia="Century Gothic" w:hAnsi="Century Gothic" w:cs="Century Gothic"/>
          <w:b/>
          <w:sz w:val="24"/>
          <w:szCs w:val="24"/>
        </w:rPr>
      </w:pPr>
      <w:bookmarkStart w:id="0" w:name="_GoBack"/>
      <w:bookmarkEnd w:id="0"/>
      <w:r>
        <w:rPr>
          <w:noProof/>
          <w:lang w:val="es-HN" w:eastAsia="es-HN"/>
        </w:rPr>
        <w:drawing>
          <wp:inline distT="114300" distB="114300" distL="114300" distR="114300">
            <wp:extent cx="5612130" cy="14986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9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C16E1" w:rsidRDefault="007C16E1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7C16E1" w:rsidRDefault="00734438">
      <w:pPr>
        <w:tabs>
          <w:tab w:val="left" w:pos="4830"/>
        </w:tabs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ab/>
      </w:r>
    </w:p>
    <w:p w:rsidR="007C16E1" w:rsidRDefault="007C16E1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7C16E1" w:rsidRDefault="007C16E1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7C16E1" w:rsidRDefault="00734438">
      <w:pPr>
        <w:pStyle w:val="Puesto"/>
        <w:spacing w:line="276" w:lineRule="auto"/>
        <w:rPr>
          <w:rFonts w:ascii="Century Gothic" w:eastAsia="Century Gothic" w:hAnsi="Century Gothic" w:cs="Century Gothic"/>
          <w:color w:val="000000"/>
          <w:sz w:val="36"/>
          <w:szCs w:val="36"/>
          <w:u w:val="none"/>
        </w:rPr>
      </w:pPr>
      <w:r>
        <w:rPr>
          <w:rFonts w:ascii="Century Gothic" w:eastAsia="Century Gothic" w:hAnsi="Century Gothic" w:cs="Century Gothic"/>
          <w:color w:val="000000"/>
          <w:sz w:val="52"/>
          <w:szCs w:val="52"/>
          <w:u w:val="none"/>
        </w:rPr>
        <w:t>Términos de Referencia</w:t>
      </w:r>
    </w:p>
    <w:p w:rsidR="007C16E1" w:rsidRDefault="007344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CONSULTORÍA PARA ASESORÍA Y ACOMPAÑAMIENTO EN EL DIAGNÓSTICO, IDENTIFICACIÓN DE PROBLEMAS Y RECOMENDACIONES RELACIONADAS CON LOS SISTEMAS DE INFORMACIÓN DE LA SECRETARIA DE EDUCACION</w:t>
      </w:r>
    </w:p>
    <w:p w:rsidR="007C16E1" w:rsidRDefault="00734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80C0F"/>
          <w:sz w:val="28"/>
          <w:szCs w:val="28"/>
        </w:rPr>
        <w:t xml:space="preserve"> </w:t>
      </w:r>
    </w:p>
    <w:p w:rsidR="007C16E1" w:rsidRDefault="007C16E1">
      <w:pPr>
        <w:spacing w:before="114" w:line="291" w:lineRule="auto"/>
        <w:ind w:left="284" w:right="444"/>
        <w:rPr>
          <w:rFonts w:ascii="Arial" w:eastAsia="Arial" w:hAnsi="Arial" w:cs="Arial"/>
          <w:color w:val="080C0F"/>
          <w:sz w:val="28"/>
          <w:szCs w:val="28"/>
        </w:rPr>
      </w:pPr>
    </w:p>
    <w:p w:rsidR="007C16E1" w:rsidRDefault="007C16E1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7C16E1" w:rsidRDefault="007C16E1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7C16E1" w:rsidRDefault="007C16E1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7C16E1" w:rsidRDefault="00734438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Junio - Diciembre, 2018</w:t>
      </w:r>
    </w:p>
    <w:p w:rsidR="007C16E1" w:rsidRDefault="007C16E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b/>
          <w:color w:val="365F91"/>
          <w:sz w:val="28"/>
          <w:szCs w:val="28"/>
        </w:rPr>
      </w:pPr>
    </w:p>
    <w:p w:rsidR="007C16E1" w:rsidRDefault="007C16E1"/>
    <w:p w:rsidR="007C16E1" w:rsidRDefault="007C16E1"/>
    <w:p w:rsidR="007C16E1" w:rsidRDefault="007C16E1"/>
    <w:p w:rsidR="007C16E1" w:rsidRDefault="007C16E1"/>
    <w:p w:rsidR="007C16E1" w:rsidRDefault="007C16E1"/>
    <w:p w:rsidR="007C16E1" w:rsidRDefault="007C16E1"/>
    <w:p w:rsidR="007C16E1" w:rsidRDefault="007C16E1"/>
    <w:p w:rsidR="007C16E1" w:rsidRDefault="0073443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TABLA DE CONTENIDOS</w:t>
      </w:r>
    </w:p>
    <w:p w:rsidR="007C16E1" w:rsidRDefault="007C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sdt>
      <w:sdtPr>
        <w:id w:val="1320850494"/>
        <w:docPartObj>
          <w:docPartGallery w:val="Table of Contents"/>
          <w:docPartUnique/>
        </w:docPartObj>
      </w:sdtPr>
      <w:sdtEndPr/>
      <w:sdtContent>
        <w:p w:rsidR="007C16E1" w:rsidRDefault="000935DC">
          <w:pPr>
            <w:tabs>
              <w:tab w:val="right" w:pos="8838"/>
            </w:tabs>
            <w:spacing w:before="80" w:line="240" w:lineRule="auto"/>
            <w:rPr>
              <w:rFonts w:ascii="Cambria" w:eastAsia="Cambria" w:hAnsi="Cambria" w:cs="Cambria"/>
            </w:rPr>
          </w:pPr>
          <w:r>
            <w:fldChar w:fldCharType="begin"/>
          </w:r>
          <w:r w:rsidR="00734438">
            <w:instrText xml:space="preserve"> TOC \h \u \z </w:instrText>
          </w:r>
          <w:r>
            <w:fldChar w:fldCharType="separate"/>
          </w:r>
          <w:hyperlink w:anchor="_30j0zll">
            <w:r w:rsidR="00734438">
              <w:rPr>
                <w:rFonts w:ascii="Cambria" w:eastAsia="Cambria" w:hAnsi="Cambria" w:cs="Cambria"/>
                <w:b/>
              </w:rPr>
              <w:t>ANTECEDENTES</w:t>
            </w:r>
          </w:hyperlink>
          <w:r w:rsidR="00734438">
            <w:rPr>
              <w:rFonts w:ascii="Cambria" w:eastAsia="Cambria" w:hAnsi="Cambria" w:cs="Cambria"/>
              <w:b/>
            </w:rPr>
            <w:tab/>
          </w:r>
          <w:r>
            <w:fldChar w:fldCharType="begin"/>
          </w:r>
          <w:r w:rsidR="00734438">
            <w:instrText xml:space="preserve"> PAGEREF _30j0zll \h </w:instrText>
          </w:r>
          <w:r>
            <w:fldChar w:fldCharType="separate"/>
          </w:r>
          <w:r w:rsidR="00734438">
            <w:rPr>
              <w:rFonts w:ascii="Cambria" w:eastAsia="Cambria" w:hAnsi="Cambria" w:cs="Cambria"/>
              <w:b/>
            </w:rPr>
            <w:t>3</w:t>
          </w:r>
          <w:hyperlink w:anchor="_30j0zll" w:history="1"/>
        </w:p>
        <w:p w:rsidR="007C16E1" w:rsidRDefault="000935DC">
          <w:pPr>
            <w:tabs>
              <w:tab w:val="right" w:pos="8838"/>
            </w:tabs>
            <w:spacing w:before="200" w:line="240" w:lineRule="auto"/>
            <w:rPr>
              <w:rFonts w:ascii="Cambria" w:eastAsia="Cambria" w:hAnsi="Cambria" w:cs="Cambria"/>
            </w:rPr>
          </w:pPr>
          <w:r>
            <w:fldChar w:fldCharType="end"/>
          </w:r>
          <w:hyperlink w:anchor="_1fob9te">
            <w:r w:rsidR="00734438">
              <w:rPr>
                <w:rFonts w:ascii="Cambria" w:eastAsia="Cambria" w:hAnsi="Cambria" w:cs="Cambria"/>
                <w:b/>
              </w:rPr>
              <w:t>OBJETIVO DE LA CONSULTORÍA</w:t>
            </w:r>
          </w:hyperlink>
          <w:r w:rsidR="00734438">
            <w:rPr>
              <w:rFonts w:ascii="Cambria" w:eastAsia="Cambria" w:hAnsi="Cambria" w:cs="Cambria"/>
              <w:b/>
            </w:rPr>
            <w:tab/>
          </w:r>
          <w:r>
            <w:fldChar w:fldCharType="begin"/>
          </w:r>
          <w:r w:rsidR="00734438">
            <w:instrText xml:space="preserve"> PAGEREF _1fob9te \h </w:instrText>
          </w:r>
          <w:r>
            <w:fldChar w:fldCharType="separate"/>
          </w:r>
          <w:r w:rsidR="00734438">
            <w:rPr>
              <w:rFonts w:ascii="Cambria" w:eastAsia="Cambria" w:hAnsi="Cambria" w:cs="Cambria"/>
              <w:b/>
            </w:rPr>
            <w:t>3</w:t>
          </w:r>
          <w:hyperlink w:anchor="_1fob9te" w:history="1"/>
        </w:p>
        <w:p w:rsidR="007C16E1" w:rsidRDefault="000935DC">
          <w:pPr>
            <w:tabs>
              <w:tab w:val="right" w:pos="8838"/>
            </w:tabs>
            <w:spacing w:before="200" w:line="240" w:lineRule="auto"/>
            <w:rPr>
              <w:rFonts w:ascii="Cambria" w:eastAsia="Cambria" w:hAnsi="Cambria" w:cs="Cambria"/>
            </w:rPr>
          </w:pPr>
          <w:r>
            <w:fldChar w:fldCharType="end"/>
          </w:r>
          <w:hyperlink w:anchor="_3znysh7">
            <w:r w:rsidR="00734438">
              <w:rPr>
                <w:rFonts w:ascii="Cambria" w:eastAsia="Cambria" w:hAnsi="Cambria" w:cs="Cambria"/>
                <w:b/>
              </w:rPr>
              <w:t>JUSTIFICACIÓN DE LA CONSULTORÍA</w:t>
            </w:r>
          </w:hyperlink>
          <w:r w:rsidR="00734438">
            <w:rPr>
              <w:rFonts w:ascii="Cambria" w:eastAsia="Cambria" w:hAnsi="Cambria" w:cs="Cambria"/>
              <w:b/>
            </w:rPr>
            <w:tab/>
          </w:r>
          <w:r>
            <w:fldChar w:fldCharType="begin"/>
          </w:r>
          <w:r w:rsidR="00734438">
            <w:instrText xml:space="preserve"> PAGEREF _3znysh7 \h </w:instrText>
          </w:r>
          <w:r>
            <w:fldChar w:fldCharType="separate"/>
          </w:r>
          <w:r w:rsidR="00734438">
            <w:rPr>
              <w:rFonts w:ascii="Cambria" w:eastAsia="Cambria" w:hAnsi="Cambria" w:cs="Cambria"/>
              <w:b/>
            </w:rPr>
            <w:t>4</w:t>
          </w:r>
          <w:hyperlink w:anchor="_3znysh7" w:history="1"/>
        </w:p>
        <w:p w:rsidR="007C16E1" w:rsidRDefault="000935DC">
          <w:pPr>
            <w:tabs>
              <w:tab w:val="right" w:pos="8838"/>
            </w:tabs>
            <w:spacing w:before="200" w:line="240" w:lineRule="auto"/>
            <w:rPr>
              <w:rFonts w:ascii="Cambria" w:eastAsia="Cambria" w:hAnsi="Cambria" w:cs="Cambria"/>
            </w:rPr>
          </w:pPr>
          <w:r>
            <w:fldChar w:fldCharType="end"/>
          </w:r>
          <w:hyperlink w:anchor="_2et92p0">
            <w:r w:rsidR="00734438">
              <w:rPr>
                <w:rFonts w:ascii="Cambria" w:eastAsia="Cambria" w:hAnsi="Cambria" w:cs="Cambria"/>
                <w:b/>
              </w:rPr>
              <w:t>ACTIVIDADES A DESARROLLAR</w:t>
            </w:r>
          </w:hyperlink>
          <w:r w:rsidR="00734438">
            <w:rPr>
              <w:rFonts w:ascii="Cambria" w:eastAsia="Cambria" w:hAnsi="Cambria" w:cs="Cambria"/>
              <w:b/>
            </w:rPr>
            <w:tab/>
          </w:r>
          <w:r>
            <w:fldChar w:fldCharType="begin"/>
          </w:r>
          <w:r w:rsidR="00734438">
            <w:instrText xml:space="preserve"> PAGEREF _2et92p0 \h </w:instrText>
          </w:r>
          <w:r>
            <w:fldChar w:fldCharType="separate"/>
          </w:r>
          <w:r w:rsidR="00734438">
            <w:rPr>
              <w:rFonts w:ascii="Cambria" w:eastAsia="Cambria" w:hAnsi="Cambria" w:cs="Cambria"/>
              <w:b/>
            </w:rPr>
            <w:t>5</w:t>
          </w:r>
          <w:hyperlink w:anchor="_2et92p0" w:history="1"/>
        </w:p>
        <w:p w:rsidR="007C16E1" w:rsidRDefault="000935DC">
          <w:pPr>
            <w:tabs>
              <w:tab w:val="right" w:pos="8838"/>
            </w:tabs>
            <w:spacing w:before="200" w:line="240" w:lineRule="auto"/>
            <w:rPr>
              <w:rFonts w:ascii="Cambria" w:eastAsia="Cambria" w:hAnsi="Cambria" w:cs="Cambria"/>
            </w:rPr>
          </w:pPr>
          <w:r>
            <w:fldChar w:fldCharType="end"/>
          </w:r>
          <w:hyperlink w:anchor="_tyjcwt">
            <w:r w:rsidR="00734438">
              <w:rPr>
                <w:rFonts w:ascii="Cambria" w:eastAsia="Cambria" w:hAnsi="Cambria" w:cs="Cambria"/>
                <w:b/>
              </w:rPr>
              <w:t>PRODUCTOS ESPERADOS DE LA CONSULTORÍA</w:t>
            </w:r>
          </w:hyperlink>
          <w:r w:rsidR="00734438">
            <w:rPr>
              <w:rFonts w:ascii="Cambria" w:eastAsia="Cambria" w:hAnsi="Cambria" w:cs="Cambria"/>
              <w:b/>
            </w:rPr>
            <w:tab/>
          </w:r>
          <w:r>
            <w:fldChar w:fldCharType="begin"/>
          </w:r>
          <w:r w:rsidR="00734438">
            <w:instrText xml:space="preserve"> PAGEREF _tyjcwt \h </w:instrText>
          </w:r>
          <w:r>
            <w:fldChar w:fldCharType="separate"/>
          </w:r>
          <w:r w:rsidR="00734438">
            <w:rPr>
              <w:rFonts w:ascii="Cambria" w:eastAsia="Cambria" w:hAnsi="Cambria" w:cs="Cambria"/>
              <w:b/>
            </w:rPr>
            <w:t>6</w:t>
          </w:r>
          <w:hyperlink w:anchor="_tyjcwt" w:history="1"/>
        </w:p>
        <w:p w:rsidR="007C16E1" w:rsidRDefault="000935DC">
          <w:pPr>
            <w:tabs>
              <w:tab w:val="right" w:pos="8838"/>
            </w:tabs>
            <w:spacing w:before="200" w:line="240" w:lineRule="auto"/>
            <w:rPr>
              <w:rFonts w:ascii="Cambria" w:eastAsia="Cambria" w:hAnsi="Cambria" w:cs="Cambria"/>
            </w:rPr>
          </w:pPr>
          <w:r>
            <w:fldChar w:fldCharType="end"/>
          </w:r>
          <w:hyperlink w:anchor="_3dy6vkm">
            <w:r w:rsidR="00734438">
              <w:rPr>
                <w:rFonts w:ascii="Cambria" w:eastAsia="Cambria" w:hAnsi="Cambria" w:cs="Cambria"/>
                <w:b/>
              </w:rPr>
              <w:t>PLAZO DE LA CONSULTORÍA</w:t>
            </w:r>
          </w:hyperlink>
          <w:r w:rsidR="00734438">
            <w:rPr>
              <w:rFonts w:ascii="Cambria" w:eastAsia="Cambria" w:hAnsi="Cambria" w:cs="Cambria"/>
              <w:b/>
            </w:rPr>
            <w:tab/>
          </w:r>
          <w:r>
            <w:fldChar w:fldCharType="begin"/>
          </w:r>
          <w:r w:rsidR="00734438">
            <w:instrText xml:space="preserve"> PAGEREF _3dy6vkm \h </w:instrText>
          </w:r>
          <w:r>
            <w:fldChar w:fldCharType="separate"/>
          </w:r>
          <w:r w:rsidR="00734438">
            <w:rPr>
              <w:rFonts w:ascii="Cambria" w:eastAsia="Cambria" w:hAnsi="Cambria" w:cs="Cambria"/>
              <w:b/>
            </w:rPr>
            <w:t>8</w:t>
          </w:r>
          <w:hyperlink w:anchor="_3dy6vkm" w:history="1"/>
        </w:p>
        <w:p w:rsidR="007C16E1" w:rsidRDefault="000935DC">
          <w:pPr>
            <w:tabs>
              <w:tab w:val="right" w:pos="8838"/>
            </w:tabs>
            <w:spacing w:before="200" w:line="240" w:lineRule="auto"/>
            <w:rPr>
              <w:rFonts w:ascii="Cambria" w:eastAsia="Cambria" w:hAnsi="Cambria" w:cs="Cambria"/>
            </w:rPr>
          </w:pPr>
          <w:r>
            <w:fldChar w:fldCharType="end"/>
          </w:r>
          <w:hyperlink w:anchor="_1t3h5sf">
            <w:r w:rsidR="00734438">
              <w:rPr>
                <w:rFonts w:ascii="Cambria" w:eastAsia="Cambria" w:hAnsi="Cambria" w:cs="Cambria"/>
                <w:b/>
              </w:rPr>
              <w:t>FORMA DE PAGO</w:t>
            </w:r>
          </w:hyperlink>
          <w:r w:rsidR="00734438">
            <w:rPr>
              <w:rFonts w:ascii="Cambria" w:eastAsia="Cambria" w:hAnsi="Cambria" w:cs="Cambria"/>
              <w:b/>
            </w:rPr>
            <w:tab/>
          </w:r>
          <w:r>
            <w:fldChar w:fldCharType="begin"/>
          </w:r>
          <w:r w:rsidR="00734438">
            <w:instrText xml:space="preserve"> PAGEREF _1t3h5sf \h </w:instrText>
          </w:r>
          <w:r>
            <w:fldChar w:fldCharType="separate"/>
          </w:r>
          <w:r w:rsidR="00734438">
            <w:rPr>
              <w:rFonts w:ascii="Cambria" w:eastAsia="Cambria" w:hAnsi="Cambria" w:cs="Cambria"/>
              <w:b/>
            </w:rPr>
            <w:t>8</w:t>
          </w:r>
          <w:hyperlink w:anchor="_1t3h5sf" w:history="1"/>
        </w:p>
        <w:p w:rsidR="007C16E1" w:rsidRDefault="000935DC">
          <w:pPr>
            <w:tabs>
              <w:tab w:val="right" w:pos="8838"/>
            </w:tabs>
            <w:spacing w:before="200" w:line="240" w:lineRule="auto"/>
            <w:rPr>
              <w:rFonts w:ascii="Cambria" w:eastAsia="Cambria" w:hAnsi="Cambria" w:cs="Cambria"/>
            </w:rPr>
          </w:pPr>
          <w:r>
            <w:fldChar w:fldCharType="end"/>
          </w:r>
          <w:hyperlink w:anchor="_4d34og8">
            <w:r w:rsidR="00734438">
              <w:rPr>
                <w:rFonts w:ascii="Cambria" w:eastAsia="Cambria" w:hAnsi="Cambria" w:cs="Cambria"/>
                <w:b/>
              </w:rPr>
              <w:t>MÉTODO DE SELECCIÓN</w:t>
            </w:r>
          </w:hyperlink>
          <w:r w:rsidR="00734438">
            <w:rPr>
              <w:rFonts w:ascii="Cambria" w:eastAsia="Cambria" w:hAnsi="Cambria" w:cs="Cambria"/>
              <w:b/>
            </w:rPr>
            <w:tab/>
          </w:r>
          <w:r>
            <w:fldChar w:fldCharType="begin"/>
          </w:r>
          <w:r w:rsidR="00734438">
            <w:instrText xml:space="preserve"> PAGEREF _4d34og8 \h </w:instrText>
          </w:r>
          <w:r>
            <w:fldChar w:fldCharType="separate"/>
          </w:r>
          <w:r w:rsidR="00734438">
            <w:rPr>
              <w:rFonts w:ascii="Cambria" w:eastAsia="Cambria" w:hAnsi="Cambria" w:cs="Cambria"/>
              <w:b/>
            </w:rPr>
            <w:t>9</w:t>
          </w:r>
          <w:hyperlink w:anchor="_4d34og8" w:history="1"/>
        </w:p>
        <w:p w:rsidR="007C16E1" w:rsidRDefault="000935DC">
          <w:pPr>
            <w:tabs>
              <w:tab w:val="right" w:pos="8838"/>
            </w:tabs>
            <w:spacing w:before="200" w:line="240" w:lineRule="auto"/>
            <w:rPr>
              <w:rFonts w:ascii="Cambria" w:eastAsia="Cambria" w:hAnsi="Cambria" w:cs="Cambria"/>
            </w:rPr>
          </w:pPr>
          <w:r>
            <w:fldChar w:fldCharType="end"/>
          </w:r>
          <w:hyperlink w:anchor="_2s8eyo1">
            <w:r w:rsidR="00734438">
              <w:rPr>
                <w:rFonts w:ascii="Cambria" w:eastAsia="Cambria" w:hAnsi="Cambria" w:cs="Cambria"/>
                <w:b/>
              </w:rPr>
              <w:t>MONTO DE LA CONSULTORÍA</w:t>
            </w:r>
          </w:hyperlink>
          <w:r w:rsidR="00734438">
            <w:rPr>
              <w:rFonts w:ascii="Cambria" w:eastAsia="Cambria" w:hAnsi="Cambria" w:cs="Cambria"/>
              <w:b/>
            </w:rPr>
            <w:tab/>
          </w:r>
          <w:r>
            <w:fldChar w:fldCharType="begin"/>
          </w:r>
          <w:r w:rsidR="00734438">
            <w:instrText xml:space="preserve"> PAGEREF _2s8eyo1 \h </w:instrText>
          </w:r>
          <w:r>
            <w:fldChar w:fldCharType="separate"/>
          </w:r>
          <w:r w:rsidR="00734438">
            <w:rPr>
              <w:rFonts w:ascii="Cambria" w:eastAsia="Cambria" w:hAnsi="Cambria" w:cs="Cambria"/>
              <w:b/>
            </w:rPr>
            <w:t>9</w:t>
          </w:r>
          <w:hyperlink w:anchor="_2s8eyo1" w:history="1"/>
        </w:p>
        <w:p w:rsidR="007C16E1" w:rsidRDefault="000935DC">
          <w:pPr>
            <w:tabs>
              <w:tab w:val="right" w:pos="8838"/>
            </w:tabs>
            <w:spacing w:before="200" w:line="240" w:lineRule="auto"/>
            <w:rPr>
              <w:rFonts w:ascii="Cambria" w:eastAsia="Cambria" w:hAnsi="Cambria" w:cs="Cambria"/>
            </w:rPr>
          </w:pPr>
          <w:r>
            <w:fldChar w:fldCharType="end"/>
          </w:r>
          <w:hyperlink w:anchor="_3rdcrjn">
            <w:r w:rsidR="00734438">
              <w:rPr>
                <w:rFonts w:ascii="Cambria" w:eastAsia="Cambria" w:hAnsi="Cambria" w:cs="Cambria"/>
                <w:b/>
              </w:rPr>
              <w:t>LUGAR DE TRABAJO</w:t>
            </w:r>
          </w:hyperlink>
          <w:r w:rsidR="00734438">
            <w:rPr>
              <w:rFonts w:ascii="Cambria" w:eastAsia="Cambria" w:hAnsi="Cambria" w:cs="Cambria"/>
              <w:b/>
            </w:rPr>
            <w:tab/>
          </w:r>
          <w:r>
            <w:fldChar w:fldCharType="begin"/>
          </w:r>
          <w:r w:rsidR="00734438">
            <w:instrText xml:space="preserve"> PAGEREF _3rdcrjn \h </w:instrText>
          </w:r>
          <w:r>
            <w:fldChar w:fldCharType="separate"/>
          </w:r>
          <w:r w:rsidR="00734438">
            <w:rPr>
              <w:rFonts w:ascii="Cambria" w:eastAsia="Cambria" w:hAnsi="Cambria" w:cs="Cambria"/>
              <w:b/>
            </w:rPr>
            <w:t>9</w:t>
          </w:r>
          <w:hyperlink w:anchor="_3rdcrjn" w:history="1"/>
        </w:p>
        <w:p w:rsidR="007C16E1" w:rsidRDefault="000935DC">
          <w:pPr>
            <w:tabs>
              <w:tab w:val="right" w:pos="8838"/>
            </w:tabs>
            <w:spacing w:before="200" w:line="240" w:lineRule="auto"/>
            <w:rPr>
              <w:rFonts w:ascii="Cambria" w:eastAsia="Cambria" w:hAnsi="Cambria" w:cs="Cambria"/>
            </w:rPr>
          </w:pPr>
          <w:r>
            <w:fldChar w:fldCharType="end"/>
          </w:r>
          <w:hyperlink w:anchor="_26in1rg">
            <w:r w:rsidR="00734438">
              <w:rPr>
                <w:rFonts w:ascii="Cambria" w:eastAsia="Cambria" w:hAnsi="Cambria" w:cs="Cambria"/>
                <w:b/>
              </w:rPr>
              <w:t>MONEDAS DE LA OFERTA Y DE PAGO</w:t>
            </w:r>
          </w:hyperlink>
          <w:r w:rsidR="00734438">
            <w:rPr>
              <w:rFonts w:ascii="Cambria" w:eastAsia="Cambria" w:hAnsi="Cambria" w:cs="Cambria"/>
              <w:b/>
            </w:rPr>
            <w:tab/>
          </w:r>
          <w:r>
            <w:fldChar w:fldCharType="begin"/>
          </w:r>
          <w:r w:rsidR="00734438">
            <w:instrText xml:space="preserve"> PAGEREF _26in1rg \h </w:instrText>
          </w:r>
          <w:r>
            <w:fldChar w:fldCharType="separate"/>
          </w:r>
          <w:r w:rsidR="00734438">
            <w:rPr>
              <w:rFonts w:ascii="Cambria" w:eastAsia="Cambria" w:hAnsi="Cambria" w:cs="Cambria"/>
              <w:b/>
            </w:rPr>
            <w:t>9</w:t>
          </w:r>
          <w:hyperlink w:anchor="_26in1rg" w:history="1"/>
        </w:p>
        <w:p w:rsidR="007C16E1" w:rsidRDefault="000935DC">
          <w:pPr>
            <w:tabs>
              <w:tab w:val="right" w:pos="8838"/>
            </w:tabs>
            <w:spacing w:before="200" w:after="80" w:line="240" w:lineRule="auto"/>
            <w:rPr>
              <w:rFonts w:ascii="Cambria" w:eastAsia="Cambria" w:hAnsi="Cambria" w:cs="Cambria"/>
            </w:rPr>
          </w:pPr>
          <w:r>
            <w:fldChar w:fldCharType="end"/>
          </w:r>
          <w:hyperlink w:anchor="_lnxbz9">
            <w:r w:rsidR="00734438">
              <w:rPr>
                <w:rFonts w:ascii="Cambria" w:eastAsia="Cambria" w:hAnsi="Cambria" w:cs="Cambria"/>
                <w:b/>
              </w:rPr>
              <w:t>PERFIL DEL CONSULTOR</w:t>
            </w:r>
          </w:hyperlink>
          <w:r w:rsidR="00734438">
            <w:rPr>
              <w:rFonts w:ascii="Cambria" w:eastAsia="Cambria" w:hAnsi="Cambria" w:cs="Cambria"/>
              <w:b/>
            </w:rPr>
            <w:tab/>
          </w:r>
          <w:r>
            <w:fldChar w:fldCharType="begin"/>
          </w:r>
          <w:r w:rsidR="00734438">
            <w:instrText xml:space="preserve"> PAGEREF _lnxbz9 \h </w:instrText>
          </w:r>
          <w:r>
            <w:fldChar w:fldCharType="separate"/>
          </w:r>
          <w:r w:rsidR="00734438">
            <w:rPr>
              <w:rFonts w:ascii="Cambria" w:eastAsia="Cambria" w:hAnsi="Cambria" w:cs="Cambria"/>
              <w:b/>
            </w:rPr>
            <w:t>10</w:t>
          </w:r>
          <w:r>
            <w:fldChar w:fldCharType="end"/>
          </w:r>
          <w:r>
            <w:fldChar w:fldCharType="end"/>
          </w:r>
        </w:p>
      </w:sdtContent>
    </w:sdt>
    <w:p w:rsidR="007C16E1" w:rsidRDefault="007C16E1"/>
    <w:p w:rsidR="007C16E1" w:rsidRDefault="007C16E1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7C16E1" w:rsidRDefault="007C16E1">
      <w:pPr>
        <w:jc w:val="right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7C16E1" w:rsidRDefault="007C16E1">
      <w:pPr>
        <w:jc w:val="right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7C16E1" w:rsidRDefault="007C16E1">
      <w:pPr>
        <w:jc w:val="right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1" w:name="_gjdgxs" w:colFirst="0" w:colLast="0"/>
      <w:bookmarkEnd w:id="1"/>
    </w:p>
    <w:p w:rsidR="007C16E1" w:rsidRDefault="007C16E1">
      <w:pPr>
        <w:jc w:val="right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7C16E1" w:rsidRDefault="00734438">
      <w:pPr>
        <w:jc w:val="right"/>
        <w:rPr>
          <w:rFonts w:ascii="Century Gothic" w:eastAsia="Century Gothic" w:hAnsi="Century Gothic" w:cs="Century Gothic"/>
          <w:b/>
          <w:sz w:val="24"/>
          <w:szCs w:val="24"/>
        </w:rPr>
      </w:pPr>
      <w:r>
        <w:br w:type="page"/>
      </w:r>
    </w:p>
    <w:p w:rsidR="007C16E1" w:rsidRDefault="007C16E1">
      <w:pPr>
        <w:jc w:val="right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C16E1">
        <w:trPr>
          <w:trHeight w:val="620"/>
        </w:trPr>
        <w:tc>
          <w:tcPr>
            <w:tcW w:w="8828" w:type="dxa"/>
            <w:shd w:val="clear" w:color="auto" w:fill="000E51"/>
          </w:tcPr>
          <w:p w:rsidR="007C16E1" w:rsidRDefault="007C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7C16E1" w:rsidRDefault="00734438">
            <w:pPr>
              <w:pStyle w:val="Ttulo1"/>
              <w:numPr>
                <w:ilvl w:val="0"/>
                <w:numId w:val="5"/>
              </w:numPr>
              <w:spacing w:line="276" w:lineRule="auto"/>
              <w:jc w:val="both"/>
            </w:pPr>
            <w:bookmarkStart w:id="2" w:name="_30j0zll" w:colFirst="0" w:colLast="0"/>
            <w:bookmarkEnd w:id="2"/>
            <w:r>
              <w:t>ANTECEDENTES</w:t>
            </w:r>
          </w:p>
        </w:tc>
      </w:tr>
    </w:tbl>
    <w:p w:rsidR="007C16E1" w:rsidRDefault="007C16E1">
      <w:pPr>
        <w:spacing w:after="0"/>
        <w:jc w:val="both"/>
        <w:rPr>
          <w:rFonts w:ascii="Century Gothic" w:eastAsia="Century Gothic" w:hAnsi="Century Gothic" w:cs="Century Gothic"/>
        </w:rPr>
      </w:pPr>
    </w:p>
    <w:p w:rsidR="007C16E1" w:rsidRDefault="007344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Secretaría de Educación, es responsable de la correcta implementación y contratación de recursos computacionales, procesos administrativos/educativos y recurso humano relacionado con Sistemas de Información para el sistema educativo público de Honduras. Actualmente, la Secretaría de Educación cuenta con sistemas de información y equipo computacionales que están sujetos a actualizaciones y revisiones periódicas, siendo también objeto de diversas donaciones y préstamos para la adquisición de sistemas administrativos y de TICs en las escuelas públicas que debe administrar. Adicionalmente, un número importante de escuelas han recibido equipo y recursos computacionales e internet y el Señor Presidente Ejecutivo estará destinando una fuerte inversión en este sentido.</w:t>
      </w:r>
    </w:p>
    <w:p w:rsidR="007C16E1" w:rsidRDefault="007C16E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C16E1" w:rsidRDefault="007344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Secretaría de Educación no cuenta con un sistema de impartición de materiales educativos que cumplan con las mejores prácticas pedagógicas mundiales, un proceso evaluativo estándar a nivel nacional y un sistema de aplicación de métricas y presentación automática de resultados coincidentes con el desempeño académico y cognitivo de los alumnos. </w:t>
      </w:r>
    </w:p>
    <w:p w:rsidR="007C16E1" w:rsidRDefault="007C16E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C16E1" w:rsidRDefault="007344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importante revisar y mejorar los sistemas de información administrativos que brindan valiosa información estadística y agilizan procesos. El sistema de pago de planillas tiene enormes fallas humanas y sistemáticas que deben atenderse con carácter de emergencia ya que de ello dependen los pagos a docentes, o sea que igualmente depende de este la continuidad del proceso educativo a nivel nacional.</w:t>
      </w:r>
    </w:p>
    <w:p w:rsidR="007C16E1" w:rsidRDefault="007C16E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C16E1" w:rsidRPr="00B95576" w:rsidRDefault="007344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95576">
        <w:rPr>
          <w:rFonts w:ascii="Arial" w:eastAsia="Arial" w:hAnsi="Arial" w:cs="Arial"/>
          <w:sz w:val="24"/>
          <w:szCs w:val="24"/>
        </w:rPr>
        <w:t>Deben considerarse entonces como actividades imperantes, críticas y urgentes la revisión, diagnóstico y directrices en el ámbito de sistemas de información y tecnologías en la SEDUC.</w:t>
      </w:r>
    </w:p>
    <w:p w:rsidR="007C16E1" w:rsidRDefault="007C16E1">
      <w:pPr>
        <w:jc w:val="both"/>
        <w:rPr>
          <w:rFonts w:ascii="Arial" w:eastAsia="Arial" w:hAnsi="Arial" w:cs="Arial"/>
          <w:i/>
          <w:color w:val="0070C0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C16E1">
        <w:trPr>
          <w:trHeight w:val="620"/>
        </w:trPr>
        <w:tc>
          <w:tcPr>
            <w:tcW w:w="8828" w:type="dxa"/>
            <w:shd w:val="clear" w:color="auto" w:fill="000E51"/>
          </w:tcPr>
          <w:p w:rsidR="007C16E1" w:rsidRDefault="00734438">
            <w:pPr>
              <w:pStyle w:val="Ttulo1"/>
              <w:numPr>
                <w:ilvl w:val="0"/>
                <w:numId w:val="5"/>
              </w:numPr>
              <w:spacing w:line="276" w:lineRule="auto"/>
              <w:jc w:val="both"/>
            </w:pPr>
            <w:bookmarkStart w:id="3" w:name="_1fob9te" w:colFirst="0" w:colLast="0"/>
            <w:bookmarkEnd w:id="3"/>
            <w:r>
              <w:t>OBJETIVO DE LA CONSULTORÍA</w:t>
            </w:r>
          </w:p>
        </w:tc>
      </w:tr>
    </w:tbl>
    <w:p w:rsidR="007C16E1" w:rsidRDefault="007C16E1">
      <w:pPr>
        <w:spacing w:after="120"/>
        <w:jc w:val="both"/>
        <w:rPr>
          <w:rFonts w:ascii="Century Gothic" w:eastAsia="Century Gothic" w:hAnsi="Century Gothic" w:cs="Century Gothic"/>
        </w:rPr>
      </w:pPr>
    </w:p>
    <w:p w:rsidR="007C16E1" w:rsidRDefault="007344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consultoría dará continuidad a los resultados de un anterior trabajo la cual se enfocó en obtener recomendaciones y directrices </w:t>
      </w:r>
      <w:r>
        <w:rPr>
          <w:rFonts w:ascii="Arial" w:eastAsia="Arial" w:hAnsi="Arial" w:cs="Arial"/>
          <w:b/>
          <w:sz w:val="24"/>
          <w:szCs w:val="24"/>
        </w:rPr>
        <w:t xml:space="preserve">generales </w:t>
      </w:r>
      <w:r>
        <w:rPr>
          <w:rFonts w:ascii="Arial" w:eastAsia="Arial" w:hAnsi="Arial" w:cs="Arial"/>
          <w:sz w:val="24"/>
          <w:szCs w:val="24"/>
        </w:rPr>
        <w:t xml:space="preserve">para el establecimiento de los requerimientos de una plataforma educativa, además presenta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recomendaciones </w:t>
      </w:r>
      <w:r>
        <w:rPr>
          <w:rFonts w:ascii="Arial" w:eastAsia="Arial" w:hAnsi="Arial" w:cs="Arial"/>
          <w:b/>
          <w:sz w:val="24"/>
          <w:szCs w:val="24"/>
        </w:rPr>
        <w:t>iniciales y en términos generales</w:t>
      </w:r>
      <w:r>
        <w:rPr>
          <w:rFonts w:ascii="Arial" w:eastAsia="Arial" w:hAnsi="Arial" w:cs="Arial"/>
          <w:sz w:val="24"/>
          <w:szCs w:val="24"/>
        </w:rPr>
        <w:t xml:space="preserve"> sobre los sistemas administrativos actuales en la Secretaría de Educación. </w:t>
      </w:r>
    </w:p>
    <w:p w:rsidR="007C16E1" w:rsidRDefault="007C16E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95576" w:rsidRDefault="007344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Esta consultoría debe concentrarse en presentar de forma oportuna ante el Secretario de Educación un diagnóstico de los problemas actuales y posibles soluciones de aplicación inmediata respecto a los sistemas de información y tecnologías computacionales de la SEDUC. La presente consultoría pretende lograr recomendaciones a mayor detalle técnico en apoyo directo a la toma de decisiones en torno a los sistemas de misión crítica institucionales. </w:t>
      </w:r>
    </w:p>
    <w:p w:rsidR="00B95576" w:rsidRDefault="00B955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C16E1" w:rsidRDefault="007344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lo tanto, es posible que algunas tareas se repitan con la intención de profundizar más en los componentes o planes de implementación de una solución. Posteriormente, al entrar en operación el Proyecto Joven (BID) o la posterior participación de otros cooperantes y nuevos actores, seguramente será necesario revisar y hacer ajustes a la documentación anterior para permitir la participación y apoyo más donantes o inversionistas en el sistema educativo.</w:t>
      </w:r>
    </w:p>
    <w:p w:rsidR="007C16E1" w:rsidRDefault="007C16E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C16E1" w:rsidRDefault="007344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Cada producto entregado como parte del desarrollo de esta consultoría y anteriores representan un trabajo en progreso, sujeto a ajustes permanentes, por lo que el consultor podrá repetir tareas y hacer ajustes de considerarlo apropiado según el desarrollo de eventos y logros en torno a estos.</w:t>
      </w:r>
    </w:p>
    <w:p w:rsidR="007C16E1" w:rsidRDefault="007C16E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C16E1" w:rsidRDefault="007344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Específicamente se deberá presentar una sinopsis del estado actual de:</w:t>
      </w:r>
    </w:p>
    <w:p w:rsidR="00B95576" w:rsidRDefault="00B955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C16E1" w:rsidRDefault="007344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Sistemas de Información Administrativos de la SEDUC, principalmente del SIARHD y SACE</w:t>
      </w:r>
    </w:p>
    <w:p w:rsidR="007C16E1" w:rsidRDefault="007344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Sistemas de Información del ámbito de Evaluación Educacional</w:t>
      </w:r>
    </w:p>
    <w:p w:rsidR="007C16E1" w:rsidRDefault="007344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TIC’s en Centros Educativos</w:t>
      </w:r>
    </w:p>
    <w:p w:rsidR="007C16E1" w:rsidRDefault="007344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Sistemas de Información para la comunicación y transparencia</w:t>
      </w:r>
    </w:p>
    <w:p w:rsidR="007C16E1" w:rsidRDefault="0073443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Asistencia en la adquisición e implementación de herramientas y servicios de Inteligencia de Negocios holística</w:t>
      </w:r>
    </w:p>
    <w:p w:rsidR="007C16E1" w:rsidRDefault="007C16E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C16E1" w:rsidRDefault="007344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 consultoría debe producir recomendaciones y directrices que servirán como base para crear una agenda de tareas institucionales y seguimiento de las mismas, apoyando así la toma de decisiones.</w:t>
      </w:r>
    </w:p>
    <w:p w:rsidR="007C16E1" w:rsidRDefault="007C16E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C16E1" w:rsidRDefault="007344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Consultorías posteriores o aportaciones de los organismos y países cooperantes pueden ahondar y presentar lineamientos o acciones más específicas para consideración de la SEDUC.</w:t>
      </w:r>
    </w:p>
    <w:p w:rsidR="00B95576" w:rsidRDefault="00B9557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C16E1" w:rsidRDefault="007C16E1">
      <w:pPr>
        <w:spacing w:after="0"/>
        <w:jc w:val="both"/>
        <w:rPr>
          <w:rFonts w:ascii="Century Gothic" w:eastAsia="Century Gothic" w:hAnsi="Century Gothic" w:cs="Century Gothic"/>
        </w:rPr>
      </w:pPr>
    </w:p>
    <w:tbl>
      <w:tblPr>
        <w:tblStyle w:val="a1"/>
        <w:tblW w:w="8828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C16E1">
        <w:trPr>
          <w:trHeight w:val="620"/>
        </w:trPr>
        <w:tc>
          <w:tcPr>
            <w:tcW w:w="8828" w:type="dxa"/>
            <w:shd w:val="clear" w:color="auto" w:fill="000E51"/>
          </w:tcPr>
          <w:p w:rsidR="007C16E1" w:rsidRDefault="007C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7C16E1" w:rsidRDefault="00734438">
            <w:pPr>
              <w:pStyle w:val="Ttulo1"/>
              <w:numPr>
                <w:ilvl w:val="0"/>
                <w:numId w:val="5"/>
              </w:numPr>
              <w:spacing w:line="276" w:lineRule="auto"/>
              <w:jc w:val="both"/>
            </w:pPr>
            <w:bookmarkStart w:id="4" w:name="_3znysh7" w:colFirst="0" w:colLast="0"/>
            <w:bookmarkEnd w:id="4"/>
            <w:r>
              <w:t xml:space="preserve">JUSTIFICACIÓN DE LA CONSULTORÍA </w:t>
            </w:r>
          </w:p>
        </w:tc>
      </w:tr>
    </w:tbl>
    <w:p w:rsidR="007C16E1" w:rsidRDefault="007C16E1">
      <w:pPr>
        <w:spacing w:after="120"/>
        <w:jc w:val="both"/>
        <w:rPr>
          <w:rFonts w:ascii="Century Gothic" w:eastAsia="Century Gothic" w:hAnsi="Century Gothic" w:cs="Century Gothic"/>
        </w:rPr>
      </w:pPr>
    </w:p>
    <w:p w:rsidR="007C16E1" w:rsidRDefault="007344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Dada la importancia y trascendencia nacional de los alcances de la Secretaría de Educación, es de la mayor importancia contar con estándares que permitan la adopción de las mejores herramientas administrativas, de comunicación y plataformas educativas. Contar una clara estrategia en materia de Sistemas de Información y en TICs facilitará el trabajo en conjunto del personal administrativos, organismos de Estado y externos con los Docentes para poner al alcance de nuestros niños los mismos recursos que utilizan sus pares en países de primer mundo.</w:t>
      </w:r>
    </w:p>
    <w:p w:rsidR="007C16E1" w:rsidRDefault="007C16E1">
      <w:pPr>
        <w:jc w:val="both"/>
        <w:rPr>
          <w:rFonts w:ascii="Arial" w:eastAsia="Arial" w:hAnsi="Arial" w:cs="Arial"/>
          <w:sz w:val="24"/>
          <w:szCs w:val="24"/>
        </w:rPr>
      </w:pPr>
    </w:p>
    <w:p w:rsidR="007C16E1" w:rsidRDefault="0073443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 de gran importancia poder contar con un diseño y documentación que faciliten la comprensión en torno a los requerimientos institucionales, de las escuelas públicas y una administración optimizada de estos recursos. Tanto los organismos del Estado como las instituciones privadas y las organizaciones externas que tienen como meta apoyar al sistema educativo solicitan constantemente documentación oficial que les guíe para realizar aportaciones tecnológicas en la SEDUC y las escuelas públicas. Es por ello que es necesario producir un diseño y documentación en la que se base toda aportación presente y futura de recursos computacionales para el sistema educativo público nacional. </w:t>
      </w:r>
    </w:p>
    <w:p w:rsidR="007C16E1" w:rsidRDefault="0073443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 consultoría permitirá que bajo las directrices del Señor Ministro de Educación, el Consultor pueda dirigir o liderar la creación y adaptación de la documentación requerida por la institución para fines internos o externos en materia de sistemas de información.</w:t>
      </w:r>
    </w:p>
    <w:p w:rsidR="007C16E1" w:rsidRDefault="007C16E1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C16E1">
        <w:trPr>
          <w:trHeight w:val="620"/>
        </w:trPr>
        <w:tc>
          <w:tcPr>
            <w:tcW w:w="8828" w:type="dxa"/>
            <w:shd w:val="clear" w:color="auto" w:fill="000E51"/>
          </w:tcPr>
          <w:p w:rsidR="007C16E1" w:rsidRDefault="00734438">
            <w:pPr>
              <w:pStyle w:val="Ttulo1"/>
              <w:numPr>
                <w:ilvl w:val="0"/>
                <w:numId w:val="5"/>
              </w:numPr>
              <w:spacing w:line="276" w:lineRule="auto"/>
              <w:jc w:val="both"/>
            </w:pPr>
            <w:bookmarkStart w:id="5" w:name="_2et92p0" w:colFirst="0" w:colLast="0"/>
            <w:bookmarkEnd w:id="5"/>
            <w:r>
              <w:t xml:space="preserve">ACTIVIDADES A DESARROLLAR </w:t>
            </w:r>
          </w:p>
        </w:tc>
      </w:tr>
    </w:tbl>
    <w:p w:rsidR="007C16E1" w:rsidRDefault="007C16E1">
      <w:pPr>
        <w:spacing w:after="120"/>
        <w:jc w:val="both"/>
        <w:rPr>
          <w:rFonts w:ascii="Century Gothic" w:eastAsia="Century Gothic" w:hAnsi="Century Gothic" w:cs="Century Gothic"/>
        </w:rPr>
      </w:pPr>
    </w:p>
    <w:p w:rsidR="007C16E1" w:rsidRDefault="00734438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contratará un consultor con amplia capacidad en las diferentes disciplinas de la implementación de sistemas de información administrativos y de TICs en Educación y que realice las tareas necesarias para establecer un diseño aplicable al sistema </w:t>
      </w:r>
      <w:r>
        <w:rPr>
          <w:rFonts w:ascii="Arial" w:eastAsia="Arial" w:hAnsi="Arial" w:cs="Arial"/>
          <w:sz w:val="24"/>
          <w:szCs w:val="24"/>
        </w:rPr>
        <w:lastRenderedPageBreak/>
        <w:t>educativo nacional. El especialista en Sistemas de Información deberá realizar las siguientes tareas principales:</w:t>
      </w:r>
    </w:p>
    <w:p w:rsidR="007C16E1" w:rsidRPr="00B95576" w:rsidRDefault="007344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Arial" w:eastAsia="Arial" w:hAnsi="Arial" w:cs="Arial"/>
          <w:sz w:val="24"/>
          <w:szCs w:val="24"/>
        </w:rPr>
        <w:t xml:space="preserve">Acompañar técnicamente a las autoridades de la Secretaría de Educación (según indique el Señor </w:t>
      </w:r>
      <w:r w:rsidRPr="00B95576">
        <w:rPr>
          <w:rFonts w:ascii="Arial" w:eastAsia="Arial" w:hAnsi="Arial" w:cs="Arial"/>
          <w:sz w:val="24"/>
          <w:szCs w:val="24"/>
        </w:rPr>
        <w:t>Secretario de Estado en el despacho  de Educación) en actividades,</w:t>
      </w:r>
      <w:r>
        <w:rPr>
          <w:rFonts w:ascii="Arial" w:eastAsia="Arial" w:hAnsi="Arial" w:cs="Arial"/>
          <w:sz w:val="24"/>
          <w:szCs w:val="24"/>
        </w:rPr>
        <w:t xml:space="preserve"> reuniones, análisis y eventos. </w:t>
      </w:r>
    </w:p>
    <w:p w:rsidR="00B95576" w:rsidRDefault="00B95576" w:rsidP="00B9557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rFonts w:ascii="Century Gothic" w:eastAsia="Century Gothic" w:hAnsi="Century Gothic" w:cs="Century Gothic"/>
          <w:color w:val="000000"/>
        </w:rPr>
      </w:pPr>
    </w:p>
    <w:p w:rsidR="007C16E1" w:rsidRDefault="007344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Arial" w:eastAsia="Arial" w:hAnsi="Arial" w:cs="Arial"/>
          <w:sz w:val="24"/>
          <w:szCs w:val="24"/>
        </w:rPr>
        <w:t>ACTIVIDADES ESPECÍFICAS:</w:t>
      </w:r>
    </w:p>
    <w:p w:rsidR="007C16E1" w:rsidRDefault="00734438">
      <w:pPr>
        <w:numPr>
          <w:ilvl w:val="1"/>
          <w:numId w:val="2"/>
        </w:numPr>
        <w:spacing w:after="0"/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Arial" w:eastAsia="Arial" w:hAnsi="Arial" w:cs="Arial"/>
          <w:sz w:val="24"/>
          <w:szCs w:val="24"/>
        </w:rPr>
        <w:t>Realizar reuniones con autoridades del sistema educativo público nacional para determinar las necesidades que han identificado, documentarlas y contrastarlas con las recomendaciones de las mejores prácticas internacionales.</w:t>
      </w:r>
    </w:p>
    <w:p w:rsidR="007C16E1" w:rsidRDefault="00734438">
      <w:pPr>
        <w:numPr>
          <w:ilvl w:val="1"/>
          <w:numId w:val="2"/>
        </w:numPr>
        <w:spacing w:after="0"/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Arial" w:eastAsia="Arial" w:hAnsi="Arial" w:cs="Arial"/>
          <w:sz w:val="24"/>
          <w:szCs w:val="24"/>
        </w:rPr>
        <w:t>Investigar mediante reuniones con autoridades nacionales e internacionales, documentación concerniente sobre los métodos y tecnologías más exitosos del ámbito educativo internacional y otros recursos que considere el Consultor convenientes.</w:t>
      </w:r>
    </w:p>
    <w:p w:rsidR="007C16E1" w:rsidRDefault="007344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Arial" w:eastAsia="Arial" w:hAnsi="Arial" w:cs="Arial"/>
          <w:sz w:val="24"/>
          <w:szCs w:val="24"/>
        </w:rPr>
        <w:t>Investigar y analizar estándares a nivel mundial que contribuyan a modelar un estándar al poder comparar ventajas de cada uno en relación a las condiciones del sistema educativo en Honduras en relación a TICs y sistemas de información.</w:t>
      </w:r>
    </w:p>
    <w:p w:rsidR="007C16E1" w:rsidRDefault="00734438">
      <w:pPr>
        <w:numPr>
          <w:ilvl w:val="1"/>
          <w:numId w:val="2"/>
        </w:numPr>
        <w:spacing w:after="0"/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Arial" w:eastAsia="Arial" w:hAnsi="Arial" w:cs="Arial"/>
          <w:sz w:val="24"/>
          <w:szCs w:val="24"/>
        </w:rPr>
        <w:t>Recomendar y aportar directrices generales de estándares para una plataforma de comunicaciones y otra de contenido y evaluación educativa.</w:t>
      </w:r>
    </w:p>
    <w:p w:rsidR="007C16E1" w:rsidRPr="007F00A7" w:rsidRDefault="00734438" w:rsidP="007F00A7">
      <w:pPr>
        <w:numPr>
          <w:ilvl w:val="1"/>
          <w:numId w:val="2"/>
        </w:numPr>
        <w:spacing w:after="0"/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Arial" w:eastAsia="Arial" w:hAnsi="Arial" w:cs="Arial"/>
          <w:sz w:val="24"/>
          <w:szCs w:val="24"/>
        </w:rPr>
        <w:t>Recomendar y aportar directrices generales para implementación Sistemas de Información dentro de la SEDUC.</w:t>
      </w:r>
    </w:p>
    <w:p w:rsidR="007C16E1" w:rsidRDefault="007C16E1">
      <w:pPr>
        <w:spacing w:after="120"/>
        <w:jc w:val="both"/>
        <w:rPr>
          <w:rFonts w:ascii="Century Gothic" w:eastAsia="Century Gothic" w:hAnsi="Century Gothic" w:cs="Century Gothic"/>
        </w:rPr>
      </w:pP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C16E1">
        <w:trPr>
          <w:trHeight w:val="620"/>
        </w:trPr>
        <w:tc>
          <w:tcPr>
            <w:tcW w:w="8828" w:type="dxa"/>
            <w:shd w:val="clear" w:color="auto" w:fill="000E51"/>
          </w:tcPr>
          <w:p w:rsidR="007C16E1" w:rsidRDefault="00734438">
            <w:pPr>
              <w:pStyle w:val="Ttulo1"/>
              <w:numPr>
                <w:ilvl w:val="0"/>
                <w:numId w:val="5"/>
              </w:numPr>
              <w:spacing w:line="276" w:lineRule="auto"/>
              <w:jc w:val="both"/>
            </w:pPr>
            <w:bookmarkStart w:id="6" w:name="_tyjcwt" w:colFirst="0" w:colLast="0"/>
            <w:bookmarkEnd w:id="6"/>
            <w:r>
              <w:t>PRODUCTOS ESPERADOS DE LA CONSULTORÍA</w:t>
            </w:r>
          </w:p>
        </w:tc>
      </w:tr>
    </w:tbl>
    <w:p w:rsidR="007C16E1" w:rsidRDefault="007C16E1">
      <w:pPr>
        <w:spacing w:after="120"/>
        <w:jc w:val="both"/>
        <w:rPr>
          <w:rFonts w:ascii="Century Gothic" w:eastAsia="Century Gothic" w:hAnsi="Century Gothic" w:cs="Century Gothic"/>
        </w:rPr>
      </w:pPr>
    </w:p>
    <w:p w:rsidR="007C16E1" w:rsidRDefault="00734438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Informes con los detalles específicos de:</w:t>
      </w:r>
    </w:p>
    <w:p w:rsidR="007C16E1" w:rsidRDefault="007344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Informe de actividades de acompañamiento y asesoría técnica desarrolladas mensualmente.</w:t>
      </w:r>
      <w:r>
        <w:rPr>
          <w:rFonts w:ascii="Arial" w:eastAsia="Arial" w:hAnsi="Arial" w:cs="Arial"/>
          <w:sz w:val="24"/>
          <w:szCs w:val="24"/>
        </w:rPr>
        <w:br/>
      </w:r>
    </w:p>
    <w:p w:rsidR="007C16E1" w:rsidRDefault="007344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Informes mensuales:</w:t>
      </w:r>
    </w:p>
    <w:p w:rsidR="007C16E1" w:rsidRDefault="00734438" w:rsidP="007B532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Producto 1</w:t>
      </w:r>
    </w:p>
    <w:p w:rsidR="007C16E1" w:rsidRDefault="00734438" w:rsidP="007B5326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701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Situación actual del App </w:t>
      </w:r>
      <w:r w:rsidR="00CF77A1">
        <w:rPr>
          <w:rFonts w:ascii="Arial" w:eastAsia="Arial" w:hAnsi="Arial" w:cs="Arial"/>
          <w:sz w:val="24"/>
          <w:szCs w:val="24"/>
        </w:rPr>
        <w:t>Móvil</w:t>
      </w:r>
      <w:r>
        <w:rPr>
          <w:rFonts w:ascii="Arial" w:eastAsia="Arial" w:hAnsi="Arial" w:cs="Arial"/>
          <w:sz w:val="24"/>
          <w:szCs w:val="24"/>
        </w:rPr>
        <w:t xml:space="preserve"> “VaClases” desarrollado por el cooperante GIZ, planificación de actividades para una correcta implementación  y recomendaciones técnicas / administrativas</w:t>
      </w:r>
      <w:r>
        <w:rPr>
          <w:rFonts w:ascii="Arial" w:eastAsia="Arial" w:hAnsi="Arial" w:cs="Arial"/>
          <w:sz w:val="24"/>
          <w:szCs w:val="24"/>
        </w:rPr>
        <w:br/>
      </w:r>
    </w:p>
    <w:p w:rsidR="007C16E1" w:rsidRDefault="00734438" w:rsidP="007B532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Producto 2</w:t>
      </w:r>
    </w:p>
    <w:p w:rsidR="007B5326" w:rsidRPr="007B5326" w:rsidRDefault="00734438" w:rsidP="007B5326">
      <w:pPr>
        <w:numPr>
          <w:ilvl w:val="2"/>
          <w:numId w:val="3"/>
        </w:numPr>
        <w:spacing w:after="0"/>
        <w:ind w:left="1701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Situación de Centro de Datos de USINIEH (en DGDP), estado del equipo, software y servicios relacionados actuales), planificación de actividades para una correcta implementación  y recomendaciones técnicas / administrativas</w:t>
      </w:r>
    </w:p>
    <w:p w:rsidR="007C16E1" w:rsidRDefault="007C16E1" w:rsidP="007B5326">
      <w:pPr>
        <w:spacing w:after="0"/>
        <w:ind w:left="1701"/>
        <w:contextualSpacing/>
        <w:jc w:val="both"/>
        <w:rPr>
          <w:sz w:val="24"/>
          <w:szCs w:val="24"/>
        </w:rPr>
      </w:pPr>
    </w:p>
    <w:p w:rsidR="007C16E1" w:rsidRDefault="00734438" w:rsidP="007B5326">
      <w:pPr>
        <w:numPr>
          <w:ilvl w:val="2"/>
          <w:numId w:val="3"/>
        </w:numPr>
        <w:spacing w:after="0"/>
        <w:ind w:left="1701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Recomendaciones para el uso de sistemas y servicios para eficientar la comunicación interna de la SEDUC</w:t>
      </w:r>
      <w:r>
        <w:rPr>
          <w:rFonts w:ascii="Arial" w:eastAsia="Arial" w:hAnsi="Arial" w:cs="Arial"/>
          <w:sz w:val="24"/>
          <w:szCs w:val="24"/>
        </w:rPr>
        <w:br/>
      </w:r>
    </w:p>
    <w:p w:rsidR="007C16E1" w:rsidRDefault="00734438" w:rsidP="007B532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Producto 3</w:t>
      </w:r>
    </w:p>
    <w:p w:rsidR="007C16E1" w:rsidRDefault="00734438" w:rsidP="007B5326">
      <w:pPr>
        <w:numPr>
          <w:ilvl w:val="2"/>
          <w:numId w:val="3"/>
        </w:numPr>
        <w:spacing w:after="0"/>
        <w:ind w:left="1701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Asistencia en Proyecto Joven (BID) en la elaboración de TDR’s para el mejoramientos de los sistemas SIARHD y SACE, planificación de actividades para una correcta implementació</w:t>
      </w:r>
      <w:r w:rsidR="007B5326">
        <w:rPr>
          <w:rFonts w:ascii="Arial" w:eastAsia="Arial" w:hAnsi="Arial" w:cs="Arial"/>
          <w:sz w:val="24"/>
          <w:szCs w:val="24"/>
        </w:rPr>
        <w:t>n  y recomendaciones técnicas/</w:t>
      </w:r>
      <w:r>
        <w:rPr>
          <w:rFonts w:ascii="Arial" w:eastAsia="Arial" w:hAnsi="Arial" w:cs="Arial"/>
          <w:sz w:val="24"/>
          <w:szCs w:val="24"/>
        </w:rPr>
        <w:t>administrativas</w:t>
      </w:r>
      <w:r>
        <w:rPr>
          <w:rFonts w:ascii="Arial" w:eastAsia="Arial" w:hAnsi="Arial" w:cs="Arial"/>
          <w:sz w:val="24"/>
          <w:szCs w:val="24"/>
        </w:rPr>
        <w:br/>
      </w:r>
    </w:p>
    <w:p w:rsidR="007C16E1" w:rsidRDefault="00734438" w:rsidP="007B5326">
      <w:pPr>
        <w:numPr>
          <w:ilvl w:val="1"/>
          <w:numId w:val="3"/>
        </w:numPr>
        <w:spacing w:after="0"/>
        <w:ind w:left="1134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Producto 4</w:t>
      </w:r>
    </w:p>
    <w:p w:rsidR="007C16E1" w:rsidRDefault="00734438" w:rsidP="007B5326">
      <w:pPr>
        <w:numPr>
          <w:ilvl w:val="2"/>
          <w:numId w:val="3"/>
        </w:numPr>
        <w:spacing w:after="0"/>
        <w:ind w:left="1701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Situación actual del Sistema SIARHD (Sistema Integrado de Administración de Recursos Humanos Docentes), planificación de actividades para una correcta implementac</w:t>
      </w:r>
      <w:r w:rsidR="007B5326">
        <w:rPr>
          <w:rFonts w:ascii="Arial" w:eastAsia="Arial" w:hAnsi="Arial" w:cs="Arial"/>
          <w:sz w:val="24"/>
          <w:szCs w:val="24"/>
        </w:rPr>
        <w:t>ión  y recomendaciones técnicas/</w:t>
      </w:r>
      <w:r>
        <w:rPr>
          <w:rFonts w:ascii="Arial" w:eastAsia="Arial" w:hAnsi="Arial" w:cs="Arial"/>
          <w:sz w:val="24"/>
          <w:szCs w:val="24"/>
        </w:rPr>
        <w:t>administrativas</w:t>
      </w:r>
      <w:r>
        <w:rPr>
          <w:rFonts w:ascii="Arial" w:eastAsia="Arial" w:hAnsi="Arial" w:cs="Arial"/>
          <w:sz w:val="24"/>
          <w:szCs w:val="24"/>
        </w:rPr>
        <w:br/>
      </w:r>
    </w:p>
    <w:p w:rsidR="007C16E1" w:rsidRDefault="00734438" w:rsidP="007B5326">
      <w:pPr>
        <w:numPr>
          <w:ilvl w:val="1"/>
          <w:numId w:val="3"/>
        </w:numPr>
        <w:spacing w:after="0"/>
        <w:ind w:left="1134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Producto 5</w:t>
      </w:r>
    </w:p>
    <w:p w:rsidR="007B5326" w:rsidRPr="007B5326" w:rsidRDefault="00734438" w:rsidP="007B5326">
      <w:pPr>
        <w:numPr>
          <w:ilvl w:val="2"/>
          <w:numId w:val="3"/>
        </w:numPr>
        <w:spacing w:after="0"/>
        <w:ind w:left="1701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Situación actual del recurso humano y organizacional en USINIEH, planificación de actividades para una correcta implementación  y recomendaciones técnicas / administrativas</w:t>
      </w:r>
    </w:p>
    <w:p w:rsidR="007C16E1" w:rsidRDefault="007C16E1" w:rsidP="007B5326">
      <w:pPr>
        <w:spacing w:after="0"/>
        <w:ind w:left="1701"/>
        <w:contextualSpacing/>
        <w:jc w:val="both"/>
        <w:rPr>
          <w:sz w:val="24"/>
          <w:szCs w:val="24"/>
        </w:rPr>
      </w:pPr>
    </w:p>
    <w:p w:rsidR="007C16E1" w:rsidRDefault="00734438" w:rsidP="007B5326">
      <w:pPr>
        <w:numPr>
          <w:ilvl w:val="1"/>
          <w:numId w:val="3"/>
        </w:numPr>
        <w:spacing w:after="0"/>
        <w:ind w:left="1134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Producto 6</w:t>
      </w:r>
    </w:p>
    <w:p w:rsidR="007C16E1" w:rsidRDefault="00734438" w:rsidP="007B5326">
      <w:pPr>
        <w:numPr>
          <w:ilvl w:val="2"/>
          <w:numId w:val="3"/>
        </w:numPr>
        <w:spacing w:after="0"/>
        <w:ind w:left="1701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Situación actual de las herramientas y servicios para análisis de información integral con Inteligencia de Negocios, planificación de actividades para una correcta implementación  y recomendaciones </w:t>
      </w:r>
      <w:r>
        <w:rPr>
          <w:rFonts w:ascii="Arial" w:eastAsia="Arial" w:hAnsi="Arial" w:cs="Arial"/>
          <w:sz w:val="24"/>
          <w:szCs w:val="24"/>
        </w:rPr>
        <w:lastRenderedPageBreak/>
        <w:t>técnicas/administrativas</w:t>
      </w:r>
      <w:r>
        <w:rPr>
          <w:rFonts w:ascii="Arial" w:eastAsia="Arial" w:hAnsi="Arial" w:cs="Arial"/>
          <w:sz w:val="24"/>
          <w:szCs w:val="24"/>
        </w:rPr>
        <w:br/>
      </w:r>
    </w:p>
    <w:p w:rsidR="007C16E1" w:rsidRPr="007B5326" w:rsidRDefault="00734438" w:rsidP="007B5326">
      <w:pPr>
        <w:numPr>
          <w:ilvl w:val="1"/>
          <w:numId w:val="3"/>
        </w:numPr>
        <w:spacing w:after="0"/>
        <w:ind w:left="1134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Producto 7</w:t>
      </w:r>
    </w:p>
    <w:p w:rsidR="007B5326" w:rsidRPr="007B5326" w:rsidRDefault="00734438" w:rsidP="007B5326">
      <w:pPr>
        <w:numPr>
          <w:ilvl w:val="2"/>
          <w:numId w:val="3"/>
        </w:numPr>
        <w:spacing w:after="0"/>
        <w:ind w:left="1701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Asistencia en implementación de herramientas y metodologías para Ciclo de Mejora Continua en la Secretaría de Educación en conjunto con las áreas Administración, Talento Humano, USINIEH y Prácticas de Docencia</w:t>
      </w:r>
      <w:r w:rsidR="007B5326">
        <w:rPr>
          <w:rFonts w:ascii="Arial" w:eastAsia="Arial" w:hAnsi="Arial" w:cs="Arial"/>
          <w:sz w:val="24"/>
          <w:szCs w:val="24"/>
        </w:rPr>
        <w:t>.</w:t>
      </w:r>
    </w:p>
    <w:p w:rsidR="007C16E1" w:rsidRDefault="007C16E1" w:rsidP="007B5326">
      <w:pPr>
        <w:spacing w:after="0"/>
        <w:ind w:left="1701"/>
        <w:contextualSpacing/>
        <w:jc w:val="both"/>
        <w:rPr>
          <w:sz w:val="24"/>
          <w:szCs w:val="24"/>
        </w:rPr>
      </w:pPr>
    </w:p>
    <w:p w:rsidR="007C16E1" w:rsidRDefault="00734438" w:rsidP="007B5326">
      <w:pPr>
        <w:numPr>
          <w:ilvl w:val="2"/>
          <w:numId w:val="3"/>
        </w:numPr>
        <w:spacing w:after="0"/>
        <w:ind w:left="1701" w:hanging="283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Asistencia en formulación de TDR’s en el marco del Proyecto Jóven (BID) para la adquisición de una plataforma de contenido educativo, evaluaciones estandarizadas y TICs en centros escolares a nivel nacional. </w:t>
      </w:r>
    </w:p>
    <w:p w:rsidR="007C16E1" w:rsidRDefault="007C16E1" w:rsidP="007B5326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1701" w:hanging="74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C16E1">
        <w:trPr>
          <w:trHeight w:val="620"/>
        </w:trPr>
        <w:tc>
          <w:tcPr>
            <w:tcW w:w="8828" w:type="dxa"/>
            <w:shd w:val="clear" w:color="auto" w:fill="000E51"/>
          </w:tcPr>
          <w:p w:rsidR="007C16E1" w:rsidRDefault="00734438">
            <w:pPr>
              <w:pStyle w:val="Ttulo1"/>
              <w:numPr>
                <w:ilvl w:val="0"/>
                <w:numId w:val="5"/>
              </w:numPr>
              <w:spacing w:line="276" w:lineRule="auto"/>
              <w:jc w:val="both"/>
            </w:pPr>
            <w:bookmarkStart w:id="7" w:name="_3dy6vkm" w:colFirst="0" w:colLast="0"/>
            <w:bookmarkEnd w:id="7"/>
            <w:r>
              <w:t>PLAZO DE LA CONSULTORÍA</w:t>
            </w:r>
          </w:p>
        </w:tc>
      </w:tr>
    </w:tbl>
    <w:p w:rsidR="007C16E1" w:rsidRDefault="007C16E1">
      <w:pPr>
        <w:spacing w:after="120"/>
        <w:jc w:val="both"/>
        <w:rPr>
          <w:rFonts w:ascii="Century Gothic" w:eastAsia="Century Gothic" w:hAnsi="Century Gothic" w:cs="Century Gothic"/>
          <w:b/>
        </w:rPr>
      </w:pPr>
    </w:p>
    <w:p w:rsidR="002D5241" w:rsidRDefault="0073443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contrato tendrá una vigencia de 7 meses calendario </w:t>
      </w:r>
      <w:r w:rsidRPr="002D5241">
        <w:rPr>
          <w:rFonts w:ascii="Arial" w:eastAsia="Arial" w:hAnsi="Arial" w:cs="Arial"/>
          <w:sz w:val="24"/>
          <w:szCs w:val="24"/>
        </w:rPr>
        <w:t>después de la suscripción del mismo.</w:t>
      </w:r>
      <w:r w:rsidR="00D51C15">
        <w:rPr>
          <w:rFonts w:ascii="Arial" w:eastAsia="Arial" w:hAnsi="Arial" w:cs="Arial"/>
          <w:sz w:val="24"/>
          <w:szCs w:val="24"/>
        </w:rPr>
        <w:t xml:space="preserve"> </w:t>
      </w:r>
    </w:p>
    <w:p w:rsidR="002D5241" w:rsidRDefault="0065569F" w:rsidP="0065569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consultor </w:t>
      </w:r>
      <w:r w:rsidR="00D51C15">
        <w:rPr>
          <w:rFonts w:ascii="Arial" w:eastAsia="Arial" w:hAnsi="Arial" w:cs="Arial"/>
          <w:sz w:val="24"/>
          <w:szCs w:val="24"/>
        </w:rPr>
        <w:t xml:space="preserve">en caso de requerirlo, </w:t>
      </w:r>
      <w:r w:rsidR="00534A01">
        <w:rPr>
          <w:rFonts w:ascii="Arial" w:eastAsia="Arial" w:hAnsi="Arial" w:cs="Arial"/>
          <w:sz w:val="24"/>
          <w:szCs w:val="24"/>
        </w:rPr>
        <w:t>se le brindará un lugar de trabajo en las oficinas de USINIEH, presentará l</w:t>
      </w:r>
      <w:r w:rsidR="002D5241">
        <w:rPr>
          <w:rFonts w:ascii="Arial" w:eastAsia="Arial" w:hAnsi="Arial" w:cs="Arial"/>
          <w:sz w:val="24"/>
          <w:szCs w:val="24"/>
        </w:rPr>
        <w:t xml:space="preserve">os productos </w:t>
      </w:r>
      <w:r w:rsidR="00FF4AF2">
        <w:rPr>
          <w:rFonts w:ascii="Arial" w:eastAsia="Arial" w:hAnsi="Arial" w:cs="Arial"/>
          <w:sz w:val="24"/>
          <w:szCs w:val="24"/>
        </w:rPr>
        <w:t xml:space="preserve">en forma física y electrónica al </w:t>
      </w:r>
      <w:r w:rsidR="002D5241">
        <w:rPr>
          <w:rFonts w:ascii="Arial" w:eastAsia="Arial" w:hAnsi="Arial" w:cs="Arial"/>
          <w:sz w:val="24"/>
          <w:szCs w:val="24"/>
        </w:rPr>
        <w:t>Director o Coordina</w:t>
      </w:r>
      <w:r w:rsidR="00734438">
        <w:rPr>
          <w:rFonts w:ascii="Arial" w:eastAsia="Arial" w:hAnsi="Arial" w:cs="Arial"/>
          <w:sz w:val="24"/>
          <w:szCs w:val="24"/>
        </w:rPr>
        <w:t>do</w:t>
      </w:r>
      <w:r w:rsidR="002D5241">
        <w:rPr>
          <w:rFonts w:ascii="Arial" w:eastAsia="Arial" w:hAnsi="Arial" w:cs="Arial"/>
          <w:sz w:val="24"/>
          <w:szCs w:val="24"/>
        </w:rPr>
        <w:t xml:space="preserve">r de USINIEH </w:t>
      </w:r>
      <w:r w:rsidR="00FF4AF2">
        <w:rPr>
          <w:rFonts w:ascii="Arial" w:eastAsia="Arial" w:hAnsi="Arial" w:cs="Arial"/>
          <w:sz w:val="24"/>
          <w:szCs w:val="24"/>
        </w:rPr>
        <w:t>quien dará</w:t>
      </w:r>
      <w:r w:rsidR="002D5241">
        <w:rPr>
          <w:rFonts w:ascii="Arial" w:eastAsia="Arial" w:hAnsi="Arial" w:cs="Arial"/>
          <w:sz w:val="24"/>
          <w:szCs w:val="24"/>
        </w:rPr>
        <w:t xml:space="preserve"> su visto bueno y </w:t>
      </w:r>
      <w:r w:rsidR="00534A01">
        <w:rPr>
          <w:rFonts w:ascii="Arial" w:eastAsia="Arial" w:hAnsi="Arial" w:cs="Arial"/>
          <w:sz w:val="24"/>
          <w:szCs w:val="24"/>
        </w:rPr>
        <w:t xml:space="preserve">los </w:t>
      </w:r>
      <w:r w:rsidR="002D5241">
        <w:rPr>
          <w:rFonts w:ascii="Arial" w:eastAsia="Arial" w:hAnsi="Arial" w:cs="Arial"/>
          <w:sz w:val="24"/>
          <w:szCs w:val="24"/>
        </w:rPr>
        <w:t>remitir</w:t>
      </w:r>
      <w:r w:rsidR="00534A01">
        <w:rPr>
          <w:rFonts w:ascii="Arial" w:eastAsia="Arial" w:hAnsi="Arial" w:cs="Arial"/>
          <w:sz w:val="24"/>
          <w:szCs w:val="24"/>
        </w:rPr>
        <w:t>á</w:t>
      </w:r>
      <w:r w:rsidR="00FF4AF2">
        <w:rPr>
          <w:rFonts w:ascii="Arial" w:eastAsia="Arial" w:hAnsi="Arial" w:cs="Arial"/>
          <w:sz w:val="24"/>
          <w:szCs w:val="24"/>
        </w:rPr>
        <w:t xml:space="preserve"> a la Unidad de Adquisiciones para el trámite de pago</w:t>
      </w:r>
      <w:r w:rsidR="002D5241">
        <w:rPr>
          <w:rFonts w:ascii="Arial" w:eastAsia="Arial" w:hAnsi="Arial" w:cs="Arial"/>
          <w:sz w:val="24"/>
          <w:szCs w:val="24"/>
        </w:rPr>
        <w:t xml:space="preserve">. </w:t>
      </w:r>
      <w:r w:rsidR="00FF4AF2">
        <w:rPr>
          <w:rFonts w:ascii="Arial" w:eastAsia="Arial" w:hAnsi="Arial" w:cs="Arial"/>
          <w:sz w:val="24"/>
          <w:szCs w:val="24"/>
        </w:rPr>
        <w:t xml:space="preserve">De igual manera </w:t>
      </w:r>
      <w:r>
        <w:rPr>
          <w:rFonts w:ascii="Arial" w:eastAsia="Arial" w:hAnsi="Arial" w:cs="Arial"/>
          <w:sz w:val="24"/>
          <w:szCs w:val="24"/>
        </w:rPr>
        <w:t>remitir</w:t>
      </w:r>
      <w:r w:rsidR="00FF4AF2">
        <w:rPr>
          <w:rFonts w:ascii="Arial" w:eastAsia="Arial" w:hAnsi="Arial" w:cs="Arial"/>
          <w:sz w:val="24"/>
          <w:szCs w:val="24"/>
        </w:rPr>
        <w:t>á informe al Secretario de Estado de Educación</w:t>
      </w:r>
      <w:r>
        <w:rPr>
          <w:rFonts w:ascii="Arial" w:eastAsia="Arial" w:hAnsi="Arial" w:cs="Arial"/>
          <w:sz w:val="24"/>
          <w:szCs w:val="24"/>
        </w:rPr>
        <w:t xml:space="preserve"> sobre los avances de la </w:t>
      </w:r>
      <w:r w:rsidR="00534A01">
        <w:rPr>
          <w:rFonts w:ascii="Arial" w:eastAsia="Arial" w:hAnsi="Arial" w:cs="Arial"/>
          <w:sz w:val="24"/>
          <w:szCs w:val="24"/>
        </w:rPr>
        <w:t>consultoría</w:t>
      </w:r>
      <w:r w:rsidR="00FF4AF2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5"/>
        <w:tblW w:w="88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66"/>
      </w:tblGrid>
      <w:tr w:rsidR="007C16E1">
        <w:trPr>
          <w:trHeight w:val="740"/>
        </w:trPr>
        <w:tc>
          <w:tcPr>
            <w:tcW w:w="8866" w:type="dxa"/>
            <w:shd w:val="clear" w:color="auto" w:fill="000E51"/>
          </w:tcPr>
          <w:p w:rsidR="007C16E1" w:rsidRDefault="00734438">
            <w:pPr>
              <w:pStyle w:val="Ttulo1"/>
              <w:numPr>
                <w:ilvl w:val="0"/>
                <w:numId w:val="5"/>
              </w:numPr>
              <w:spacing w:line="276" w:lineRule="auto"/>
              <w:jc w:val="both"/>
            </w:pPr>
            <w:bookmarkStart w:id="8" w:name="_1t3h5sf" w:colFirst="0" w:colLast="0"/>
            <w:bookmarkEnd w:id="8"/>
            <w:r>
              <w:t>FORMA DE PAGO</w:t>
            </w:r>
          </w:p>
        </w:tc>
      </w:tr>
    </w:tbl>
    <w:p w:rsidR="007C16E1" w:rsidRDefault="007C16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4"/>
        </w:tabs>
        <w:spacing w:after="0" w:line="255" w:lineRule="auto"/>
        <w:ind w:right="81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16E1" w:rsidRDefault="007344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4"/>
        </w:tabs>
        <w:spacing w:after="0" w:line="255" w:lineRule="auto"/>
        <w:ind w:right="81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Los pagos se realizarán conforme la entrega de los siguientes productos dur</w:t>
      </w:r>
      <w:r>
        <w:rPr>
          <w:rFonts w:ascii="Arial" w:eastAsia="Arial" w:hAnsi="Arial" w:cs="Arial"/>
          <w:sz w:val="24"/>
          <w:szCs w:val="24"/>
        </w:rPr>
        <w:t>ante siete meses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7C16E1" w:rsidRDefault="007C16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4"/>
        </w:tabs>
        <w:spacing w:after="0" w:line="255" w:lineRule="auto"/>
        <w:ind w:right="81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6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4740"/>
        <w:gridCol w:w="1980"/>
        <w:gridCol w:w="1470"/>
      </w:tblGrid>
      <w:tr w:rsidR="007C16E1">
        <w:trPr>
          <w:trHeight w:val="460"/>
          <w:jc w:val="center"/>
        </w:trPr>
        <w:tc>
          <w:tcPr>
            <w:tcW w:w="736" w:type="dxa"/>
            <w:shd w:val="clear" w:color="auto" w:fill="BDD6EE"/>
          </w:tcPr>
          <w:p w:rsidR="007C16E1" w:rsidRPr="007F00A7" w:rsidRDefault="00734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F00A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Pago</w:t>
            </w:r>
          </w:p>
        </w:tc>
        <w:tc>
          <w:tcPr>
            <w:tcW w:w="4740" w:type="dxa"/>
            <w:shd w:val="clear" w:color="auto" w:fill="BDD6EE"/>
          </w:tcPr>
          <w:p w:rsidR="007C16E1" w:rsidRDefault="00734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Concepto</w:t>
            </w:r>
          </w:p>
        </w:tc>
        <w:tc>
          <w:tcPr>
            <w:tcW w:w="1980" w:type="dxa"/>
            <w:shd w:val="clear" w:color="auto" w:fill="BDD6EE"/>
          </w:tcPr>
          <w:p w:rsidR="007C16E1" w:rsidRDefault="00734438" w:rsidP="007B5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Fecha </w:t>
            </w:r>
            <w:r w:rsidR="007B532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Maxima de entrega de Producto</w:t>
            </w:r>
          </w:p>
        </w:tc>
        <w:tc>
          <w:tcPr>
            <w:tcW w:w="1470" w:type="dxa"/>
            <w:shd w:val="clear" w:color="auto" w:fill="BDD6EE"/>
          </w:tcPr>
          <w:p w:rsidR="007C16E1" w:rsidRDefault="00734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Monto</w:t>
            </w:r>
          </w:p>
        </w:tc>
      </w:tr>
      <w:tr w:rsidR="007C16E1">
        <w:trPr>
          <w:trHeight w:val="700"/>
          <w:jc w:val="center"/>
        </w:trPr>
        <w:tc>
          <w:tcPr>
            <w:tcW w:w="736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74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Informe de actividades de acompañamiento técnico y asesorías. Entrega de Producto 1.</w:t>
            </w:r>
          </w:p>
        </w:tc>
        <w:tc>
          <w:tcPr>
            <w:tcW w:w="198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ind w:left="2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 de junio 2018</w:t>
            </w:r>
          </w:p>
        </w:tc>
        <w:tc>
          <w:tcPr>
            <w:tcW w:w="147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L60,000.00</w:t>
            </w:r>
          </w:p>
        </w:tc>
      </w:tr>
      <w:tr w:rsidR="007C16E1">
        <w:trPr>
          <w:trHeight w:val="720"/>
          <w:jc w:val="center"/>
        </w:trPr>
        <w:tc>
          <w:tcPr>
            <w:tcW w:w="736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74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Informe de actividades de acompañamiento técnico y asesorías. Entrega de Producto 2.</w:t>
            </w:r>
          </w:p>
        </w:tc>
        <w:tc>
          <w:tcPr>
            <w:tcW w:w="198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ind w:left="2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de julio 2018</w:t>
            </w:r>
          </w:p>
        </w:tc>
        <w:tc>
          <w:tcPr>
            <w:tcW w:w="147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L60,000.00</w:t>
            </w:r>
          </w:p>
        </w:tc>
      </w:tr>
      <w:tr w:rsidR="007C16E1">
        <w:trPr>
          <w:trHeight w:val="720"/>
          <w:jc w:val="center"/>
        </w:trPr>
        <w:tc>
          <w:tcPr>
            <w:tcW w:w="736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74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Informe de actividades de acompañamiento técnico y asesorías. Entrega de Producto 3.</w:t>
            </w:r>
          </w:p>
        </w:tc>
        <w:tc>
          <w:tcPr>
            <w:tcW w:w="198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ind w:left="2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de agosto 2018</w:t>
            </w:r>
          </w:p>
        </w:tc>
        <w:tc>
          <w:tcPr>
            <w:tcW w:w="147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L60,000.00</w:t>
            </w:r>
          </w:p>
        </w:tc>
      </w:tr>
      <w:tr w:rsidR="007C16E1">
        <w:trPr>
          <w:trHeight w:val="720"/>
          <w:jc w:val="center"/>
        </w:trPr>
        <w:tc>
          <w:tcPr>
            <w:tcW w:w="736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74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Informe de actividades de acompañamiento técnico y asesorías. Entrega de Producto 4.</w:t>
            </w:r>
          </w:p>
        </w:tc>
        <w:tc>
          <w:tcPr>
            <w:tcW w:w="198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ind w:left="2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 de septiembre 2018</w:t>
            </w:r>
          </w:p>
        </w:tc>
        <w:tc>
          <w:tcPr>
            <w:tcW w:w="147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L60,000.00</w:t>
            </w:r>
          </w:p>
        </w:tc>
      </w:tr>
      <w:tr w:rsidR="007C16E1">
        <w:trPr>
          <w:trHeight w:val="720"/>
          <w:jc w:val="center"/>
        </w:trPr>
        <w:tc>
          <w:tcPr>
            <w:tcW w:w="736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74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Informe de actividades de acompañamiento técnico y asesorías. Entrega de Producto 5.</w:t>
            </w:r>
          </w:p>
        </w:tc>
        <w:tc>
          <w:tcPr>
            <w:tcW w:w="198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ind w:left="2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de octubre 2018</w:t>
            </w:r>
          </w:p>
        </w:tc>
        <w:tc>
          <w:tcPr>
            <w:tcW w:w="147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L60,000.00</w:t>
            </w:r>
          </w:p>
        </w:tc>
      </w:tr>
      <w:tr w:rsidR="007C16E1">
        <w:trPr>
          <w:trHeight w:val="720"/>
          <w:jc w:val="center"/>
        </w:trPr>
        <w:tc>
          <w:tcPr>
            <w:tcW w:w="736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74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Informe de actividades de acompañamiento técnico y asesorías. Entrega de Producto 6.</w:t>
            </w:r>
          </w:p>
        </w:tc>
        <w:tc>
          <w:tcPr>
            <w:tcW w:w="198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ind w:left="2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 de noviembre 2018</w:t>
            </w:r>
          </w:p>
        </w:tc>
        <w:tc>
          <w:tcPr>
            <w:tcW w:w="147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L60,000.00</w:t>
            </w:r>
          </w:p>
        </w:tc>
      </w:tr>
      <w:tr w:rsidR="007C16E1">
        <w:trPr>
          <w:trHeight w:val="720"/>
          <w:jc w:val="center"/>
        </w:trPr>
        <w:tc>
          <w:tcPr>
            <w:tcW w:w="736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474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Informe de actividades de acompañamiento técnico y asesorías. Entrega de Producto 7.</w:t>
            </w:r>
          </w:p>
        </w:tc>
        <w:tc>
          <w:tcPr>
            <w:tcW w:w="198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ind w:left="2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de diciembre 2018</w:t>
            </w:r>
          </w:p>
        </w:tc>
        <w:tc>
          <w:tcPr>
            <w:tcW w:w="1470" w:type="dxa"/>
            <w:shd w:val="clear" w:color="auto" w:fill="auto"/>
          </w:tcPr>
          <w:p w:rsidR="007C16E1" w:rsidRDefault="00734438">
            <w:pPr>
              <w:widowControl w:val="0"/>
              <w:spacing w:after="0" w:line="263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L60,000.00</w:t>
            </w:r>
          </w:p>
        </w:tc>
      </w:tr>
    </w:tbl>
    <w:p w:rsidR="007C16E1" w:rsidRDefault="007C16E1">
      <w:pPr>
        <w:jc w:val="both"/>
      </w:pP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C16E1">
        <w:trPr>
          <w:trHeight w:val="620"/>
        </w:trPr>
        <w:tc>
          <w:tcPr>
            <w:tcW w:w="8828" w:type="dxa"/>
            <w:shd w:val="clear" w:color="auto" w:fill="000E51"/>
          </w:tcPr>
          <w:p w:rsidR="007C16E1" w:rsidRDefault="00734438">
            <w:pPr>
              <w:pStyle w:val="Ttulo1"/>
              <w:numPr>
                <w:ilvl w:val="0"/>
                <w:numId w:val="5"/>
              </w:numPr>
              <w:spacing w:line="276" w:lineRule="auto"/>
              <w:jc w:val="both"/>
            </w:pPr>
            <w:bookmarkStart w:id="9" w:name="_4d34og8" w:colFirst="0" w:colLast="0"/>
            <w:bookmarkEnd w:id="9"/>
            <w:r>
              <w:t>MÉTODO DE SELECCIÓN</w:t>
            </w:r>
          </w:p>
        </w:tc>
      </w:tr>
    </w:tbl>
    <w:p w:rsidR="007C16E1" w:rsidRDefault="007C16E1">
      <w:pPr>
        <w:spacing w:after="120"/>
        <w:jc w:val="both"/>
        <w:rPr>
          <w:rFonts w:ascii="Century Gothic" w:eastAsia="Century Gothic" w:hAnsi="Century Gothic" w:cs="Century Gothic"/>
        </w:rPr>
      </w:pPr>
    </w:p>
    <w:p w:rsidR="007C16E1" w:rsidRDefault="0073443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método de selección </w:t>
      </w:r>
      <w:r w:rsidRPr="007F00A7">
        <w:rPr>
          <w:rFonts w:ascii="Arial" w:eastAsia="Arial" w:hAnsi="Arial" w:cs="Arial"/>
          <w:sz w:val="24"/>
          <w:szCs w:val="24"/>
        </w:rPr>
        <w:t>será mediante la invitación a concurso público, luego a la respetiva evaluación de los currículum vitae oferentes y</w:t>
      </w:r>
      <w:r>
        <w:rPr>
          <w:rFonts w:ascii="Arial" w:eastAsia="Arial" w:hAnsi="Arial" w:cs="Arial"/>
          <w:sz w:val="24"/>
          <w:szCs w:val="24"/>
        </w:rPr>
        <w:t xml:space="preserve">  acorde con los alcances y requerimientos establecidos, posteriormente se notificará al oferente que se le adjudique dicha selección.</w:t>
      </w:r>
    </w:p>
    <w:p w:rsidR="007C16E1" w:rsidRDefault="0073443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Requerimientos para calificación del consultor descritos en la sección 10 (Perfil del Consultor).</w:t>
      </w:r>
    </w:p>
    <w:p w:rsidR="007C16E1" w:rsidRDefault="007C16E1">
      <w:pPr>
        <w:spacing w:after="120"/>
        <w:jc w:val="both"/>
        <w:rPr>
          <w:rFonts w:ascii="Century Gothic" w:eastAsia="Century Gothic" w:hAnsi="Century Gothic" w:cs="Century Gothic"/>
        </w:rPr>
      </w:pP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C16E1">
        <w:trPr>
          <w:trHeight w:val="620"/>
        </w:trPr>
        <w:tc>
          <w:tcPr>
            <w:tcW w:w="8828" w:type="dxa"/>
            <w:shd w:val="clear" w:color="auto" w:fill="000E51"/>
          </w:tcPr>
          <w:p w:rsidR="007C16E1" w:rsidRDefault="00734438">
            <w:pPr>
              <w:pStyle w:val="Ttulo1"/>
              <w:numPr>
                <w:ilvl w:val="0"/>
                <w:numId w:val="5"/>
              </w:numPr>
              <w:spacing w:line="276" w:lineRule="auto"/>
              <w:jc w:val="both"/>
            </w:pPr>
            <w:bookmarkStart w:id="10" w:name="_2s8eyo1" w:colFirst="0" w:colLast="0"/>
            <w:bookmarkEnd w:id="10"/>
            <w:r>
              <w:lastRenderedPageBreak/>
              <w:t xml:space="preserve">MONTO DE LA CONSULTORÍA </w:t>
            </w:r>
          </w:p>
        </w:tc>
      </w:tr>
    </w:tbl>
    <w:p w:rsidR="007C16E1" w:rsidRDefault="007C16E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F00A7" w:rsidRDefault="00734438" w:rsidP="007F00A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presupuesto estimado es el equivalente a</w:t>
      </w:r>
      <w:r>
        <w:rPr>
          <w:rFonts w:ascii="Arial" w:eastAsia="Arial" w:hAnsi="Arial" w:cs="Arial"/>
          <w:b/>
          <w:sz w:val="24"/>
          <w:szCs w:val="24"/>
        </w:rPr>
        <w:t xml:space="preserve"> cuatrocientos veinte mi</w:t>
      </w:r>
      <w:r w:rsidR="007F00A7">
        <w:rPr>
          <w:rFonts w:ascii="Arial" w:eastAsia="Arial" w:hAnsi="Arial" w:cs="Arial"/>
          <w:b/>
          <w:sz w:val="24"/>
          <w:szCs w:val="24"/>
        </w:rPr>
        <w:t>l lempiras exactos (420,000.00).</w:t>
      </w:r>
    </w:p>
    <w:p w:rsidR="007C16E1" w:rsidRPr="007F00A7" w:rsidRDefault="007C16E1" w:rsidP="007F00A7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7C16E1" w:rsidRPr="007F00A7" w:rsidRDefault="00734438" w:rsidP="00CF77A1">
      <w:pPr>
        <w:spacing w:after="0"/>
        <w:contextualSpacing/>
        <w:jc w:val="both"/>
        <w:rPr>
          <w:rFonts w:ascii="Arial" w:eastAsia="Cambria" w:hAnsi="Arial" w:cs="Arial"/>
          <w:b/>
          <w:color w:val="000000" w:themeColor="text1"/>
          <w:sz w:val="24"/>
          <w:szCs w:val="24"/>
        </w:rPr>
      </w:pPr>
      <w:r w:rsidRPr="007F00A7">
        <w:rPr>
          <w:rFonts w:ascii="Arial" w:eastAsia="Cambria" w:hAnsi="Arial" w:cs="Arial"/>
          <w:b/>
          <w:color w:val="000000" w:themeColor="text1"/>
          <w:sz w:val="24"/>
          <w:szCs w:val="24"/>
        </w:rPr>
        <w:t>IMPUESTOS</w:t>
      </w:r>
    </w:p>
    <w:p w:rsidR="007C16E1" w:rsidRPr="007F00A7" w:rsidRDefault="007C16E1">
      <w:pPr>
        <w:spacing w:after="0"/>
        <w:ind w:left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C16E1" w:rsidRPr="007F00A7" w:rsidRDefault="00734438">
      <w:pPr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7F00A7">
        <w:rPr>
          <w:rFonts w:ascii="Arial" w:eastAsia="Cambria" w:hAnsi="Arial" w:cs="Arial"/>
          <w:color w:val="000000" w:themeColor="text1"/>
          <w:sz w:val="24"/>
          <w:szCs w:val="24"/>
        </w:rPr>
        <w:t>Se hará deducible el 12.5% del monto total de la consultoría equivalente al pago de honorarios profesionales por concepto de pago de impuesto sobre la renta (ISR).</w:t>
      </w:r>
    </w:p>
    <w:p w:rsidR="007C16E1" w:rsidRPr="007F00A7" w:rsidRDefault="00734438">
      <w:pPr>
        <w:spacing w:line="360" w:lineRule="auto"/>
        <w:jc w:val="both"/>
        <w:rPr>
          <w:rFonts w:ascii="Arial" w:eastAsia="Cambria" w:hAnsi="Arial" w:cs="Arial"/>
          <w:b/>
          <w:color w:val="000000" w:themeColor="text1"/>
          <w:sz w:val="24"/>
          <w:szCs w:val="24"/>
        </w:rPr>
      </w:pPr>
      <w:r w:rsidRPr="007F00A7">
        <w:rPr>
          <w:rFonts w:ascii="Arial" w:eastAsia="Cambria" w:hAnsi="Arial" w:cs="Arial"/>
          <w:b/>
          <w:color w:val="000000" w:themeColor="text1"/>
          <w:sz w:val="24"/>
          <w:szCs w:val="24"/>
        </w:rPr>
        <w:t>GARANTÍA DE CALIDAD</w:t>
      </w:r>
    </w:p>
    <w:p w:rsidR="007C16E1" w:rsidRPr="007F00A7" w:rsidRDefault="00734438">
      <w:pPr>
        <w:spacing w:line="360" w:lineRule="auto"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bookmarkStart w:id="11" w:name="_17dp8vu" w:colFirst="0" w:colLast="0"/>
      <w:bookmarkEnd w:id="11"/>
      <w:r w:rsidRPr="007F00A7">
        <w:rPr>
          <w:rFonts w:ascii="Arial" w:eastAsia="Cambria" w:hAnsi="Arial" w:cs="Arial"/>
          <w:color w:val="000000" w:themeColor="text1"/>
          <w:sz w:val="24"/>
          <w:szCs w:val="24"/>
        </w:rPr>
        <w:t xml:space="preserve">En aplicación a lo establecido en el </w:t>
      </w:r>
      <w:r w:rsidR="007F00A7" w:rsidRPr="007F00A7">
        <w:rPr>
          <w:rFonts w:ascii="Arial" w:eastAsia="Cambria" w:hAnsi="Arial" w:cs="Arial"/>
          <w:color w:val="000000" w:themeColor="text1"/>
          <w:sz w:val="24"/>
          <w:szCs w:val="24"/>
        </w:rPr>
        <w:t>Artículo</w:t>
      </w:r>
      <w:r w:rsidRPr="007F00A7">
        <w:rPr>
          <w:rFonts w:ascii="Arial" w:eastAsia="Cambria" w:hAnsi="Arial" w:cs="Arial"/>
          <w:color w:val="000000" w:themeColor="text1"/>
          <w:sz w:val="24"/>
          <w:szCs w:val="24"/>
        </w:rPr>
        <w:t xml:space="preserve"> 106 de la Ley de Contratación del Estado y 243 del Reglamento de la Ley de Contratación del Estado, de cada pago parcial en concepto de honorarios se  realizará la retención del 10% del monto a pagar en concepto de garantía de calidad, realizándose la devolución del mismo, junto al pago final al producirse la terminación normal del contrato.</w:t>
      </w:r>
    </w:p>
    <w:p w:rsidR="007C16E1" w:rsidRPr="007F00A7" w:rsidRDefault="00734438">
      <w:pPr>
        <w:spacing w:line="360" w:lineRule="auto"/>
        <w:jc w:val="both"/>
        <w:rPr>
          <w:rFonts w:ascii="Arial" w:eastAsia="Cambria" w:hAnsi="Arial" w:cs="Arial"/>
          <w:b/>
          <w:color w:val="000000" w:themeColor="text1"/>
          <w:sz w:val="24"/>
          <w:szCs w:val="24"/>
        </w:rPr>
      </w:pPr>
      <w:r w:rsidRPr="007F00A7">
        <w:rPr>
          <w:rFonts w:ascii="Arial" w:eastAsia="Cambria" w:hAnsi="Arial" w:cs="Arial"/>
          <w:b/>
          <w:color w:val="000000" w:themeColor="text1"/>
          <w:sz w:val="24"/>
          <w:szCs w:val="24"/>
        </w:rPr>
        <w:t xml:space="preserve">MULTAS </w:t>
      </w:r>
    </w:p>
    <w:p w:rsidR="007C16E1" w:rsidRDefault="007344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7F00A7">
        <w:rPr>
          <w:rFonts w:ascii="Arial" w:eastAsia="Cambria" w:hAnsi="Arial" w:cs="Arial"/>
          <w:color w:val="000000" w:themeColor="text1"/>
          <w:sz w:val="24"/>
          <w:szCs w:val="24"/>
        </w:rPr>
        <w:t>El contrato estará sujeto a lo establecido en el</w:t>
      </w:r>
      <w:r w:rsidRPr="007F00A7">
        <w:rPr>
          <w:rFonts w:ascii="Arial" w:eastAsia="Cambria" w:hAnsi="Arial" w:cs="Arial"/>
          <w:b/>
          <w:color w:val="000000" w:themeColor="text1"/>
          <w:sz w:val="24"/>
          <w:szCs w:val="24"/>
        </w:rPr>
        <w:t xml:space="preserve"> </w:t>
      </w:r>
      <w:r w:rsidRPr="007F00A7">
        <w:rPr>
          <w:rFonts w:ascii="Arial" w:eastAsia="Cambria" w:hAnsi="Arial" w:cs="Arial"/>
          <w:color w:val="000000" w:themeColor="text1"/>
          <w:sz w:val="24"/>
          <w:szCs w:val="24"/>
        </w:rPr>
        <w:t>ARTÍCULO 67 de las Disposiciones Generales del Presupuesto de Ingresos y Egresos de la República, ejercicio fiscal 2018, publicadas en el Diario Oficial La Gaceta el viernes 19 de enero de 2018, el cual establece que: “</w:t>
      </w:r>
      <w:r w:rsidRPr="007F00A7">
        <w:rPr>
          <w:rFonts w:ascii="Arial" w:eastAsia="Cambria" w:hAnsi="Arial" w:cs="Arial"/>
          <w:i/>
          <w:color w:val="000000" w:themeColor="text1"/>
          <w:sz w:val="24"/>
          <w:szCs w:val="24"/>
        </w:rPr>
        <w:t>En observancia a lo dispuesto en el Artículo 72, párrafos segundo y tercero, de la Ley de Contratación del Estado, la multa diaria aplicable se fija en cero punto treinta y seis por ciento (0.36%), en relación con el monto total del contrato por el incumplimiento del plazo y la misma debe especificarse tanto en el pliego de condiciones como en el contrato de Construcción y Supervisión de Obras Públicas.</w:t>
      </w:r>
    </w:p>
    <w:p w:rsidR="007F00A7" w:rsidRPr="007F00A7" w:rsidRDefault="007F00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</w:p>
    <w:p w:rsidR="007C16E1" w:rsidRPr="007F00A7" w:rsidRDefault="00734438">
      <w:pPr>
        <w:spacing w:line="360" w:lineRule="auto"/>
        <w:jc w:val="both"/>
        <w:rPr>
          <w:rFonts w:ascii="Arial" w:eastAsia="Cambria" w:hAnsi="Arial" w:cs="Arial"/>
          <w:i/>
          <w:color w:val="000000" w:themeColor="text1"/>
          <w:sz w:val="24"/>
          <w:szCs w:val="24"/>
        </w:rPr>
      </w:pPr>
      <w:r w:rsidRPr="007F00A7">
        <w:rPr>
          <w:rFonts w:ascii="Arial" w:eastAsia="Cambria" w:hAnsi="Arial" w:cs="Arial"/>
          <w:i/>
          <w:color w:val="000000" w:themeColor="text1"/>
          <w:sz w:val="24"/>
          <w:szCs w:val="24"/>
        </w:rPr>
        <w:lastRenderedPageBreak/>
        <w:t>Esta misma disposición se debe aplicar a todos los contratos de bienes y servicios que celebren las Instituciones del Sector Público”.</w:t>
      </w:r>
    </w:p>
    <w:p w:rsidR="007C16E1" w:rsidRDefault="007C16E1">
      <w:pPr>
        <w:spacing w:after="0"/>
        <w:jc w:val="both"/>
        <w:rPr>
          <w:rFonts w:ascii="Century Gothic" w:eastAsia="Century Gothic" w:hAnsi="Century Gothic" w:cs="Century Gothic"/>
        </w:rPr>
      </w:pP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C16E1">
        <w:trPr>
          <w:trHeight w:val="620"/>
        </w:trPr>
        <w:tc>
          <w:tcPr>
            <w:tcW w:w="8828" w:type="dxa"/>
            <w:shd w:val="clear" w:color="auto" w:fill="000E51"/>
          </w:tcPr>
          <w:p w:rsidR="007C16E1" w:rsidRDefault="007F00A7">
            <w:pPr>
              <w:pStyle w:val="Ttulo1"/>
              <w:numPr>
                <w:ilvl w:val="0"/>
                <w:numId w:val="5"/>
              </w:numPr>
              <w:spacing w:line="276" w:lineRule="auto"/>
              <w:jc w:val="both"/>
            </w:pPr>
            <w:bookmarkStart w:id="12" w:name="_3rdcrjn" w:colFirst="0" w:colLast="0"/>
            <w:bookmarkEnd w:id="12"/>
            <w:r>
              <w:t xml:space="preserve"> </w:t>
            </w:r>
            <w:r w:rsidR="00734438">
              <w:t>LUGAR DE TRABAJO</w:t>
            </w:r>
          </w:p>
        </w:tc>
      </w:tr>
    </w:tbl>
    <w:p w:rsidR="007C16E1" w:rsidRDefault="007C16E1">
      <w:pPr>
        <w:spacing w:after="0"/>
        <w:jc w:val="both"/>
        <w:rPr>
          <w:rFonts w:ascii="Century Gothic" w:eastAsia="Century Gothic" w:hAnsi="Century Gothic" w:cs="Century Gothic"/>
          <w:color w:val="000000"/>
          <w:highlight w:val="yellow"/>
        </w:rPr>
      </w:pPr>
    </w:p>
    <w:p w:rsidR="007C16E1" w:rsidRDefault="0073443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consultoría se desarrollará en Tegucigalpa. </w:t>
      </w:r>
    </w:p>
    <w:p w:rsidR="007C16E1" w:rsidRDefault="0073443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caso de requerirse este acompañamiento técnico fuera de Tegucigalpa, la Secretaría de Educación brindará al consultor los recursos necesarios para movilización, transporte, alimentación, impuestos y alojamiento en proporción con el nivel profesional del mismo.</w:t>
      </w:r>
    </w:p>
    <w:p w:rsidR="007C16E1" w:rsidRDefault="007C16E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C16E1" w:rsidRDefault="00734438">
      <w:pPr>
        <w:spacing w:after="0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  <w:r w:rsidRPr="007F00A7">
        <w:rPr>
          <w:rFonts w:ascii="Arial" w:eastAsia="Arial" w:hAnsi="Arial" w:cs="Arial"/>
          <w:sz w:val="24"/>
          <w:szCs w:val="24"/>
        </w:rPr>
        <w:t>No será necesario que el Consultor cumpla con un horario de trabajo típico puesto que sus actividades requieren de movilización permanente y reuniones fuera de la institución.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7C16E1" w:rsidRDefault="007C16E1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C16E1">
        <w:trPr>
          <w:trHeight w:val="620"/>
        </w:trPr>
        <w:tc>
          <w:tcPr>
            <w:tcW w:w="8828" w:type="dxa"/>
            <w:shd w:val="clear" w:color="auto" w:fill="000E51"/>
          </w:tcPr>
          <w:p w:rsidR="007C16E1" w:rsidRDefault="007F00A7">
            <w:pPr>
              <w:pStyle w:val="Ttulo1"/>
              <w:numPr>
                <w:ilvl w:val="0"/>
                <w:numId w:val="5"/>
              </w:numPr>
              <w:spacing w:line="276" w:lineRule="auto"/>
              <w:jc w:val="both"/>
            </w:pPr>
            <w:bookmarkStart w:id="13" w:name="_26in1rg" w:colFirst="0" w:colLast="0"/>
            <w:bookmarkEnd w:id="13"/>
            <w:r>
              <w:t xml:space="preserve"> </w:t>
            </w:r>
            <w:r w:rsidR="00734438">
              <w:t>MONEDAS DE LA OFERTA Y DE PAGO</w:t>
            </w:r>
          </w:p>
        </w:tc>
      </w:tr>
    </w:tbl>
    <w:p w:rsidR="007C16E1" w:rsidRDefault="007C16E1">
      <w:pPr>
        <w:spacing w:after="0"/>
        <w:jc w:val="both"/>
        <w:rPr>
          <w:rFonts w:ascii="Century Gothic" w:eastAsia="Century Gothic" w:hAnsi="Century Gothic" w:cs="Century Gothic"/>
          <w:color w:val="000000"/>
          <w:highlight w:val="yellow"/>
        </w:rPr>
      </w:pPr>
    </w:p>
    <w:p w:rsidR="007C16E1" w:rsidRDefault="0073443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moneda a utilizar será en lempiras. </w:t>
      </w:r>
    </w:p>
    <w:p w:rsidR="007C16E1" w:rsidRDefault="007C16E1">
      <w:pPr>
        <w:spacing w:after="120"/>
        <w:jc w:val="both"/>
        <w:rPr>
          <w:rFonts w:ascii="Century Gothic" w:eastAsia="Century Gothic" w:hAnsi="Century Gothic" w:cs="Century Gothic"/>
        </w:rPr>
      </w:pPr>
    </w:p>
    <w:tbl>
      <w:tblPr>
        <w:tblStyle w:val="a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7C16E1">
        <w:trPr>
          <w:trHeight w:val="620"/>
        </w:trPr>
        <w:tc>
          <w:tcPr>
            <w:tcW w:w="8828" w:type="dxa"/>
            <w:shd w:val="clear" w:color="auto" w:fill="000E51"/>
          </w:tcPr>
          <w:p w:rsidR="007C16E1" w:rsidRDefault="00734438">
            <w:pPr>
              <w:pStyle w:val="Ttulo1"/>
              <w:numPr>
                <w:ilvl w:val="0"/>
                <w:numId w:val="5"/>
              </w:numPr>
              <w:spacing w:line="276" w:lineRule="auto"/>
              <w:jc w:val="both"/>
            </w:pPr>
            <w:bookmarkStart w:id="14" w:name="_lnxbz9" w:colFirst="0" w:colLast="0"/>
            <w:bookmarkEnd w:id="14"/>
            <w:r>
              <w:t xml:space="preserve"> PERFIL DEL CONSULTOR</w:t>
            </w:r>
          </w:p>
        </w:tc>
      </w:tr>
    </w:tbl>
    <w:p w:rsidR="007C16E1" w:rsidRDefault="007C16E1">
      <w:pPr>
        <w:spacing w:after="0"/>
        <w:jc w:val="both"/>
        <w:rPr>
          <w:rFonts w:ascii="Century Gothic" w:eastAsia="Century Gothic" w:hAnsi="Century Gothic" w:cs="Century Gothic"/>
          <w:color w:val="000000"/>
          <w:highlight w:val="yellow"/>
        </w:rPr>
      </w:pPr>
    </w:p>
    <w:p w:rsidR="007C16E1" w:rsidRDefault="0073443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perfil requerido del consultor será el siguiente:</w:t>
      </w:r>
    </w:p>
    <w:p w:rsidR="007C16E1" w:rsidRDefault="00734438">
      <w:pPr>
        <w:numPr>
          <w:ilvl w:val="0"/>
          <w:numId w:val="4"/>
        </w:numPr>
        <w:spacing w:after="0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7F00A7">
        <w:rPr>
          <w:rFonts w:ascii="Arial" w:eastAsia="Arial" w:hAnsi="Arial" w:cs="Arial"/>
          <w:sz w:val="24"/>
          <w:szCs w:val="24"/>
        </w:rPr>
        <w:t xml:space="preserve">Grado académico </w:t>
      </w:r>
      <w:r w:rsidRPr="007F00A7">
        <w:rPr>
          <w:rFonts w:ascii="Arial" w:hAnsi="Arial" w:cs="Arial"/>
          <w:sz w:val="24"/>
          <w:szCs w:val="24"/>
        </w:rPr>
        <w:t xml:space="preserve">Profesional con título universitario </w:t>
      </w:r>
      <w:r w:rsidRPr="007F00A7">
        <w:rPr>
          <w:rFonts w:ascii="Arial" w:eastAsia="Arial" w:hAnsi="Arial" w:cs="Arial"/>
          <w:sz w:val="24"/>
          <w:szCs w:val="24"/>
        </w:rPr>
        <w:t>en Administración de Empresas con complemento académico en Sistemas</w:t>
      </w:r>
      <w:r>
        <w:rPr>
          <w:rFonts w:ascii="Arial" w:eastAsia="Arial" w:hAnsi="Arial" w:cs="Arial"/>
          <w:sz w:val="24"/>
          <w:szCs w:val="24"/>
        </w:rPr>
        <w:t xml:space="preserve"> de Información. Se requiere experiencia en solución de problemas administrativos y técnicos en Gobierno, Organismos Internacionales / Cooperantes y Sector Privado-Educacional.</w:t>
      </w:r>
    </w:p>
    <w:p w:rsidR="007C16E1" w:rsidRDefault="00734438">
      <w:pPr>
        <w:numPr>
          <w:ilvl w:val="0"/>
          <w:numId w:val="4"/>
        </w:numPr>
        <w:spacing w:after="0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Experiencia (de 4 años mínimo) comprobada en implementación de TICs en escuelas públicas en Honduras </w:t>
      </w:r>
    </w:p>
    <w:p w:rsidR="007C16E1" w:rsidRDefault="00734438">
      <w:pPr>
        <w:numPr>
          <w:ilvl w:val="0"/>
          <w:numId w:val="4"/>
        </w:numPr>
        <w:spacing w:after="0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Experiencia (de 10 años mínimo) comprobada en implementación de Sistemas de Información para Gobierno en acompañamiento a Instituciones de Estado directamente o mediante organismos internacionales / cooperantes.  </w:t>
      </w:r>
    </w:p>
    <w:p w:rsidR="007C16E1" w:rsidRDefault="00734438">
      <w:pPr>
        <w:numPr>
          <w:ilvl w:val="0"/>
          <w:numId w:val="4"/>
        </w:numPr>
        <w:spacing w:after="0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Amplia experiencia (de 10 años mínimo) en diseño, desarrollo e implementación de sistemas de información para automatización de procesos administrativos (WorkFlows corporativos)</w:t>
      </w:r>
    </w:p>
    <w:p w:rsidR="007C16E1" w:rsidRDefault="00734438">
      <w:pPr>
        <w:numPr>
          <w:ilvl w:val="0"/>
          <w:numId w:val="4"/>
        </w:numPr>
        <w:spacing w:after="0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Experiencia en implementación de sistema de pago a Docentes mediante ESCALAFON de Maestros en Honduras.</w:t>
      </w:r>
    </w:p>
    <w:p w:rsidR="007C16E1" w:rsidRDefault="00734438">
      <w:pPr>
        <w:numPr>
          <w:ilvl w:val="0"/>
          <w:numId w:val="4"/>
        </w:numPr>
        <w:spacing w:after="0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Amplia experiencia (de 10 años mínimo) en diseño, desarrollo e implementación de sistemas para recolección de estadística mediante métodos de Inteligencia de Negocios (con datawarehousing).</w:t>
      </w:r>
    </w:p>
    <w:p w:rsidR="007C16E1" w:rsidRDefault="00734438">
      <w:pPr>
        <w:numPr>
          <w:ilvl w:val="0"/>
          <w:numId w:val="4"/>
        </w:numPr>
        <w:spacing w:after="0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Experiencia (de 10 años mínimo) en diseño, desarrollo e implementación de sistemas transaccionales altamente escalables y seguros mediante aplicativos web o móviles.</w:t>
      </w:r>
    </w:p>
    <w:p w:rsidR="007C16E1" w:rsidRPr="00B91112" w:rsidRDefault="00734438">
      <w:pPr>
        <w:numPr>
          <w:ilvl w:val="0"/>
          <w:numId w:val="4"/>
        </w:numPr>
        <w:spacing w:after="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91112">
        <w:rPr>
          <w:rFonts w:ascii="Arial" w:eastAsia="Arial" w:hAnsi="Arial" w:cs="Arial"/>
          <w:color w:val="000000" w:themeColor="text1"/>
          <w:sz w:val="24"/>
          <w:szCs w:val="24"/>
        </w:rPr>
        <w:t>Comprobada experiencia (de 10 años mínimo) como Arquitecto de Software, líder técnico y dirección de equipos de desarrollo de Software transaccional, altamente escalable y las medidas de seguridad más altas que practique la industria.</w:t>
      </w:r>
    </w:p>
    <w:p w:rsidR="007C16E1" w:rsidRDefault="00734438">
      <w:pPr>
        <w:numPr>
          <w:ilvl w:val="0"/>
          <w:numId w:val="4"/>
        </w:numPr>
        <w:spacing w:after="0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Comprobada experiencia (de 10 años mínimo) liderando reuniones de trabajo de alto nivel ejecutivo.</w:t>
      </w:r>
    </w:p>
    <w:p w:rsidR="007C16E1" w:rsidRDefault="00734438">
      <w:pPr>
        <w:numPr>
          <w:ilvl w:val="0"/>
          <w:numId w:val="4"/>
        </w:numPr>
        <w:spacing w:after="0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Haber recibido capacitación y contar con experiencia (de 10 años mínimo) en implementación de técnicas de Mejora Continua a nivel administrativo y de sistemas de información.</w:t>
      </w:r>
    </w:p>
    <w:p w:rsidR="007C16E1" w:rsidRDefault="00734438">
      <w:pPr>
        <w:numPr>
          <w:ilvl w:val="0"/>
          <w:numId w:val="4"/>
        </w:numPr>
        <w:spacing w:after="0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Experiencia (de 10 años mínimo) dirigiendo Sesiones de Planeamiento Ejecutivo institucional.</w:t>
      </w:r>
    </w:p>
    <w:p w:rsidR="007C16E1" w:rsidRDefault="007C16E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C16E1" w:rsidRDefault="007C16E1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mbria" w:eastAsia="Cambria" w:hAnsi="Cambria" w:cs="Cambria"/>
          <w:b/>
          <w:color w:val="0000FF"/>
          <w:sz w:val="24"/>
          <w:szCs w:val="24"/>
        </w:rPr>
      </w:pPr>
    </w:p>
    <w:p w:rsidR="007C16E1" w:rsidRPr="00B91112" w:rsidRDefault="00734438">
      <w:pPr>
        <w:spacing w:line="360" w:lineRule="auto"/>
        <w:jc w:val="both"/>
        <w:rPr>
          <w:rFonts w:ascii="Arial" w:eastAsia="Cambria" w:hAnsi="Arial" w:cs="Arial"/>
          <w:b/>
          <w:color w:val="000000" w:themeColor="text1"/>
          <w:sz w:val="24"/>
          <w:szCs w:val="24"/>
        </w:rPr>
      </w:pPr>
      <w:r w:rsidRPr="00B91112">
        <w:rPr>
          <w:rFonts w:ascii="Arial" w:eastAsia="Cambria" w:hAnsi="Arial" w:cs="Arial"/>
          <w:b/>
          <w:color w:val="000000" w:themeColor="text1"/>
          <w:sz w:val="24"/>
          <w:szCs w:val="24"/>
        </w:rPr>
        <w:t>CONDICIONES DE PARTICIPACIÓN</w:t>
      </w:r>
    </w:p>
    <w:p w:rsidR="007C16E1" w:rsidRPr="00B91112" w:rsidRDefault="00734438">
      <w:pPr>
        <w:spacing w:line="360" w:lineRule="auto"/>
        <w:jc w:val="both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B91112">
        <w:rPr>
          <w:rFonts w:ascii="Arial" w:eastAsia="Cambria" w:hAnsi="Arial" w:cs="Arial"/>
          <w:color w:val="000000" w:themeColor="text1"/>
          <w:sz w:val="24"/>
          <w:szCs w:val="24"/>
        </w:rPr>
        <w:t xml:space="preserve">Los interesados en participar deberán entregar  en la Dirección General de Adquisiciones, ubicada en el Edificio Principal de la Secretaría de Educación Primera avenida entre segunda y tercera calle, Comayagüela M.D.C., Honduras, C.A., a más tardar a las </w:t>
      </w:r>
      <w:r w:rsidRPr="00B91112">
        <w:rPr>
          <w:rFonts w:ascii="Arial" w:eastAsia="Cambria" w:hAnsi="Arial" w:cs="Arial"/>
          <w:b/>
          <w:color w:val="000000" w:themeColor="text1"/>
          <w:sz w:val="24"/>
          <w:szCs w:val="24"/>
        </w:rPr>
        <w:t xml:space="preserve">5:00 p.m. del día </w:t>
      </w:r>
      <w:r w:rsidR="00CF77A1">
        <w:rPr>
          <w:rFonts w:ascii="Arial" w:eastAsia="Cambria" w:hAnsi="Arial" w:cs="Arial"/>
          <w:b/>
          <w:color w:val="000000" w:themeColor="text1"/>
          <w:sz w:val="24"/>
          <w:szCs w:val="24"/>
        </w:rPr>
        <w:t>Miércoles 06</w:t>
      </w:r>
      <w:r w:rsidRPr="00B91112">
        <w:rPr>
          <w:rFonts w:ascii="Arial" w:eastAsia="Cambria" w:hAnsi="Arial" w:cs="Arial"/>
          <w:b/>
          <w:color w:val="000000" w:themeColor="text1"/>
          <w:sz w:val="24"/>
          <w:szCs w:val="24"/>
        </w:rPr>
        <w:t xml:space="preserve"> de </w:t>
      </w:r>
      <w:r w:rsidR="00CF77A1">
        <w:rPr>
          <w:rFonts w:ascii="Arial" w:eastAsia="Cambria" w:hAnsi="Arial" w:cs="Arial"/>
          <w:b/>
          <w:color w:val="000000" w:themeColor="text1"/>
          <w:sz w:val="24"/>
          <w:szCs w:val="24"/>
        </w:rPr>
        <w:t>Junio</w:t>
      </w:r>
      <w:r w:rsidRPr="00B91112">
        <w:rPr>
          <w:rFonts w:ascii="Arial" w:eastAsia="Cambria" w:hAnsi="Arial" w:cs="Arial"/>
          <w:b/>
          <w:color w:val="000000" w:themeColor="text1"/>
          <w:sz w:val="24"/>
          <w:szCs w:val="24"/>
        </w:rPr>
        <w:t xml:space="preserve"> del año en curso</w:t>
      </w:r>
      <w:r w:rsidRPr="00B91112">
        <w:rPr>
          <w:rFonts w:ascii="Arial" w:eastAsia="Cambria" w:hAnsi="Arial" w:cs="Arial"/>
          <w:color w:val="000000" w:themeColor="text1"/>
          <w:sz w:val="24"/>
          <w:szCs w:val="24"/>
        </w:rPr>
        <w:t xml:space="preserve">, un sobre cerrado debidamente rotulado con su nombre completo, número de </w:t>
      </w:r>
      <w:r w:rsidRPr="00B91112">
        <w:rPr>
          <w:rFonts w:ascii="Arial" w:eastAsia="Cambria" w:hAnsi="Arial" w:cs="Arial"/>
          <w:color w:val="000000" w:themeColor="text1"/>
          <w:sz w:val="24"/>
          <w:szCs w:val="24"/>
        </w:rPr>
        <w:lastRenderedPageBreak/>
        <w:t>identidad, indicando el nombre y número de proceso al cual desea participar, adjuntando lo siguiente:</w:t>
      </w:r>
    </w:p>
    <w:p w:rsidR="007C16E1" w:rsidRPr="00B91112" w:rsidRDefault="00734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1112">
        <w:rPr>
          <w:rFonts w:ascii="Arial" w:eastAsia="Cambria" w:hAnsi="Arial" w:cs="Arial"/>
          <w:color w:val="000000" w:themeColor="text1"/>
          <w:sz w:val="24"/>
          <w:szCs w:val="24"/>
        </w:rPr>
        <w:t>Currículo Vitae Profesional</w:t>
      </w:r>
    </w:p>
    <w:p w:rsidR="007C16E1" w:rsidRPr="00B91112" w:rsidRDefault="00734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1112">
        <w:rPr>
          <w:rFonts w:ascii="Arial" w:eastAsia="Cambria" w:hAnsi="Arial" w:cs="Arial"/>
          <w:color w:val="000000" w:themeColor="text1"/>
          <w:sz w:val="24"/>
          <w:szCs w:val="24"/>
        </w:rPr>
        <w:t>Copias de Títulos Diplomas referidos en el Currículo (no se tomaran en cuenta los curriculos que no adjunten esta documentación, ya que la misma servirá de base para la ponderación)</w:t>
      </w:r>
    </w:p>
    <w:p w:rsidR="007C16E1" w:rsidRPr="00B91112" w:rsidRDefault="00734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1112">
        <w:rPr>
          <w:rFonts w:ascii="Arial" w:eastAsia="Cambria" w:hAnsi="Arial" w:cs="Arial"/>
          <w:color w:val="000000" w:themeColor="text1"/>
          <w:sz w:val="24"/>
          <w:szCs w:val="24"/>
        </w:rPr>
        <w:t>Copia de la Tarjeta de Identidad</w:t>
      </w:r>
    </w:p>
    <w:p w:rsidR="007C16E1" w:rsidRPr="00B91112" w:rsidRDefault="00734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1112">
        <w:rPr>
          <w:rFonts w:ascii="Arial" w:eastAsia="Cambria" w:hAnsi="Arial" w:cs="Arial"/>
          <w:color w:val="000000" w:themeColor="text1"/>
          <w:sz w:val="24"/>
          <w:szCs w:val="24"/>
        </w:rPr>
        <w:t>Copia de PIN SIAFI (si no lo tiene puede tramitarlo posteriormente)</w:t>
      </w:r>
    </w:p>
    <w:p w:rsidR="007C16E1" w:rsidRPr="00B91112" w:rsidRDefault="00734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1112">
        <w:rPr>
          <w:rFonts w:ascii="Arial" w:eastAsia="Cambria" w:hAnsi="Arial" w:cs="Arial"/>
          <w:color w:val="000000" w:themeColor="text1"/>
          <w:sz w:val="24"/>
          <w:szCs w:val="24"/>
        </w:rPr>
        <w:t>Copia del RTN (de ser adjudicado)</w:t>
      </w:r>
    </w:p>
    <w:p w:rsidR="007C16E1" w:rsidRPr="00B91112" w:rsidRDefault="007344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1112">
        <w:rPr>
          <w:rFonts w:ascii="Arial" w:eastAsia="Cambria" w:hAnsi="Arial" w:cs="Arial"/>
          <w:color w:val="000000" w:themeColor="text1"/>
          <w:sz w:val="24"/>
          <w:szCs w:val="24"/>
        </w:rPr>
        <w:t>Los interesados deberán estar suscritos al nuevo régimen de facturación (si aún no están inscritos podrán realizar el trámite posteriormente).</w:t>
      </w:r>
    </w:p>
    <w:p w:rsidR="007C16E1" w:rsidRDefault="007C16E1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</w:p>
    <w:sectPr w:rsidR="007C16E1" w:rsidSect="000935DC">
      <w:headerReference w:type="default" r:id="rId8"/>
      <w:footerReference w:type="default" r:id="rId9"/>
      <w:pgSz w:w="12240" w:h="15840"/>
      <w:pgMar w:top="1417" w:right="1701" w:bottom="1417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32" w:rsidRDefault="00872632">
      <w:pPr>
        <w:spacing w:after="0" w:line="240" w:lineRule="auto"/>
      </w:pPr>
      <w:r>
        <w:separator/>
      </w:r>
    </w:p>
  </w:endnote>
  <w:endnote w:type="continuationSeparator" w:id="0">
    <w:p w:rsidR="00872632" w:rsidRDefault="0087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E1" w:rsidRDefault="007C16E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  <w:color w:val="000000"/>
        <w:sz w:val="20"/>
        <w:szCs w:val="20"/>
      </w:rPr>
    </w:pPr>
  </w:p>
  <w:tbl>
    <w:tblPr>
      <w:tblStyle w:val="ac"/>
      <w:tblW w:w="8838" w:type="dxa"/>
      <w:tblInd w:w="0" w:type="dxa"/>
      <w:tblLayout w:type="fixed"/>
      <w:tblLook w:val="0400" w:firstRow="0" w:lastRow="0" w:firstColumn="0" w:lastColumn="0" w:noHBand="0" w:noVBand="1"/>
    </w:tblPr>
    <w:tblGrid>
      <w:gridCol w:w="3977"/>
      <w:gridCol w:w="884"/>
      <w:gridCol w:w="3977"/>
    </w:tblGrid>
    <w:tr w:rsidR="007C16E1">
      <w:trPr>
        <w:trHeight w:val="140"/>
      </w:trPr>
      <w:tc>
        <w:tcPr>
          <w:tcW w:w="3977" w:type="dxa"/>
        </w:tcPr>
        <w:p w:rsidR="007C16E1" w:rsidRDefault="007C1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884" w:type="dxa"/>
          <w:vMerge w:val="restart"/>
          <w:vAlign w:val="center"/>
        </w:tcPr>
        <w:p w:rsidR="007C16E1" w:rsidRDefault="007C16E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3977" w:type="dxa"/>
        </w:tcPr>
        <w:p w:rsidR="007C16E1" w:rsidRDefault="007C1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Cambria" w:eastAsia="Cambria" w:hAnsi="Cambria" w:cs="Cambria"/>
              <w:b/>
              <w:color w:val="000000"/>
            </w:rPr>
          </w:pPr>
        </w:p>
      </w:tc>
    </w:tr>
    <w:tr w:rsidR="007C16E1">
      <w:trPr>
        <w:trHeight w:val="140"/>
      </w:trPr>
      <w:tc>
        <w:tcPr>
          <w:tcW w:w="3977" w:type="dxa"/>
        </w:tcPr>
        <w:p w:rsidR="007C16E1" w:rsidRDefault="007C1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884" w:type="dxa"/>
          <w:vMerge/>
          <w:vAlign w:val="center"/>
        </w:tcPr>
        <w:p w:rsidR="007C16E1" w:rsidRDefault="007C16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3977" w:type="dxa"/>
        </w:tcPr>
        <w:p w:rsidR="007C16E1" w:rsidRDefault="007C1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Cambria" w:eastAsia="Cambria" w:hAnsi="Cambria" w:cs="Cambria"/>
              <w:b/>
              <w:color w:val="000000"/>
            </w:rPr>
          </w:pPr>
        </w:p>
      </w:tc>
    </w:tr>
  </w:tbl>
  <w:p w:rsidR="007C16E1" w:rsidRDefault="00734438">
    <w:pPr>
      <w:pBdr>
        <w:top w:val="nil"/>
        <w:left w:val="nil"/>
        <w:bottom w:val="nil"/>
        <w:right w:val="nil"/>
        <w:between w:val="nil"/>
      </w:pBdr>
      <w:tabs>
        <w:tab w:val="center" w:pos="4500"/>
        <w:tab w:val="right" w:pos="9360"/>
      </w:tabs>
      <w:spacing w:after="0" w:line="240" w:lineRule="auto"/>
      <w:ind w:right="70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color w:val="000000"/>
        <w:sz w:val="18"/>
        <w:szCs w:val="18"/>
      </w:rPr>
      <w:t xml:space="preserve">Página </w:t>
    </w:r>
    <w:r w:rsidR="000935DC"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0935DC">
      <w:rPr>
        <w:color w:val="000000"/>
        <w:sz w:val="18"/>
        <w:szCs w:val="18"/>
      </w:rPr>
      <w:fldChar w:fldCharType="separate"/>
    </w:r>
    <w:r w:rsidR="00D568EC">
      <w:rPr>
        <w:noProof/>
        <w:color w:val="000000"/>
        <w:sz w:val="18"/>
        <w:szCs w:val="18"/>
      </w:rPr>
      <w:t>2</w:t>
    </w:r>
    <w:r w:rsidR="000935DC"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0935DC"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 w:rsidR="000935DC">
      <w:rPr>
        <w:color w:val="000000"/>
        <w:sz w:val="18"/>
        <w:szCs w:val="18"/>
      </w:rPr>
      <w:fldChar w:fldCharType="separate"/>
    </w:r>
    <w:r w:rsidR="00D568EC">
      <w:rPr>
        <w:noProof/>
        <w:color w:val="000000"/>
        <w:sz w:val="18"/>
        <w:szCs w:val="18"/>
      </w:rPr>
      <w:t>13</w:t>
    </w:r>
    <w:r w:rsidR="000935DC"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    </w:t>
    </w:r>
  </w:p>
  <w:p w:rsidR="007C16E1" w:rsidRDefault="007C16E1">
    <w:pPr>
      <w:spacing w:after="9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32" w:rsidRDefault="00872632">
      <w:pPr>
        <w:spacing w:after="0" w:line="240" w:lineRule="auto"/>
      </w:pPr>
      <w:r>
        <w:separator/>
      </w:r>
    </w:p>
  </w:footnote>
  <w:footnote w:type="continuationSeparator" w:id="0">
    <w:p w:rsidR="00872632" w:rsidRDefault="0087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E1" w:rsidRDefault="007C16E1">
    <w:pPr>
      <w:pStyle w:val="Puesto"/>
      <w:spacing w:line="276" w:lineRule="auto"/>
      <w:rPr>
        <w:rFonts w:ascii="Century Gothic" w:eastAsia="Century Gothic" w:hAnsi="Century Gothic" w:cs="Century Gothic"/>
        <w:sz w:val="20"/>
        <w:szCs w:val="20"/>
        <w:u w:val="none"/>
      </w:rPr>
    </w:pPr>
    <w:bookmarkStart w:id="15" w:name="_1ksv4uv" w:colFirst="0" w:colLast="0"/>
    <w:bookmarkEnd w:id="15"/>
  </w:p>
  <w:p w:rsidR="007C16E1" w:rsidRDefault="007C16E1">
    <w:pPr>
      <w:pStyle w:val="Puesto"/>
      <w:spacing w:line="276" w:lineRule="auto"/>
      <w:rPr>
        <w:rFonts w:ascii="Century Gothic" w:eastAsia="Century Gothic" w:hAnsi="Century Gothic" w:cs="Century Gothic"/>
        <w:sz w:val="20"/>
        <w:szCs w:val="20"/>
        <w:u w:val="none"/>
      </w:rPr>
    </w:pPr>
    <w:bookmarkStart w:id="16" w:name="_44sinio" w:colFirst="0" w:colLast="0"/>
    <w:bookmarkEnd w:id="16"/>
  </w:p>
  <w:p w:rsidR="007C16E1" w:rsidRDefault="00734438">
    <w:pPr>
      <w:pStyle w:val="Puesto"/>
      <w:spacing w:line="276" w:lineRule="auto"/>
      <w:rPr>
        <w:rFonts w:ascii="Century Gothic" w:eastAsia="Century Gothic" w:hAnsi="Century Gothic" w:cs="Century Gothic"/>
        <w:sz w:val="20"/>
        <w:szCs w:val="20"/>
        <w:u w:val="none"/>
      </w:rPr>
    </w:pPr>
    <w:bookmarkStart w:id="17" w:name="_2jxsxqh" w:colFirst="0" w:colLast="0"/>
    <w:bookmarkEnd w:id="17"/>
    <w:r>
      <w:rPr>
        <w:rFonts w:ascii="Century Gothic" w:eastAsia="Century Gothic" w:hAnsi="Century Gothic" w:cs="Century Gothic"/>
        <w:sz w:val="20"/>
        <w:szCs w:val="20"/>
        <w:u w:val="none"/>
      </w:rPr>
      <w:t>Términos de Referencia</w:t>
    </w:r>
  </w:p>
  <w:p w:rsidR="007C16E1" w:rsidRDefault="00734438">
    <w:pPr>
      <w:spacing w:after="0" w:line="240" w:lineRule="auto"/>
      <w:jc w:val="both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CONSULTORÍA PARA ASESORÍA Y ACOMPAÑAMIENTO EN EL DIAGNÓSTICO, IDENTIFICACIÓN DE PROBLEMAS Y RECOMENDACIONES RELACIONADAS CON LOS SISTEMAS DE INFORMACIÓN DE LA SECRETARIA DE EDUCACION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F4F5B"/>
    <w:multiLevelType w:val="multilevel"/>
    <w:tmpl w:val="503A2B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E5B25"/>
    <w:multiLevelType w:val="multilevel"/>
    <w:tmpl w:val="C5389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B0B32"/>
    <w:multiLevelType w:val="multilevel"/>
    <w:tmpl w:val="6F6AC89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20864"/>
    <w:multiLevelType w:val="multilevel"/>
    <w:tmpl w:val="33944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E0B2777"/>
    <w:multiLevelType w:val="multilevel"/>
    <w:tmpl w:val="69847F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6FC523ED"/>
    <w:multiLevelType w:val="multilevel"/>
    <w:tmpl w:val="DC985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1C06AC"/>
    <w:multiLevelType w:val="multilevel"/>
    <w:tmpl w:val="54DE318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E1"/>
    <w:rsid w:val="00026976"/>
    <w:rsid w:val="000935DC"/>
    <w:rsid w:val="002D5241"/>
    <w:rsid w:val="002F5049"/>
    <w:rsid w:val="00376963"/>
    <w:rsid w:val="00534A01"/>
    <w:rsid w:val="0065569F"/>
    <w:rsid w:val="006C75D2"/>
    <w:rsid w:val="00734438"/>
    <w:rsid w:val="007B5326"/>
    <w:rsid w:val="007C16E1"/>
    <w:rsid w:val="007F00A7"/>
    <w:rsid w:val="007F2EC3"/>
    <w:rsid w:val="00872632"/>
    <w:rsid w:val="009870B8"/>
    <w:rsid w:val="009C6740"/>
    <w:rsid w:val="00A345E5"/>
    <w:rsid w:val="00AF7C08"/>
    <w:rsid w:val="00B91112"/>
    <w:rsid w:val="00B95576"/>
    <w:rsid w:val="00CF77A1"/>
    <w:rsid w:val="00D51C15"/>
    <w:rsid w:val="00D568EC"/>
    <w:rsid w:val="00F63134"/>
    <w:rsid w:val="00FE40F6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8FEF0-ABA6-4543-991D-22D30504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120" w:after="120" w:line="240" w:lineRule="auto"/>
      <w:outlineLvl w:val="0"/>
    </w:pPr>
    <w:rPr>
      <w:b/>
      <w:color w:val="FFFFF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 w:after="0" w:line="259" w:lineRule="auto"/>
      <w:jc w:val="both"/>
      <w:outlineLvl w:val="1"/>
    </w:pPr>
    <w:rPr>
      <w:color w:val="3660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2738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Rosalina Lozano Arteaga</dc:creator>
  <cp:lastModifiedBy>Thesla María Pinto Bustillo</cp:lastModifiedBy>
  <cp:revision>2</cp:revision>
  <dcterms:created xsi:type="dcterms:W3CDTF">2018-06-01T20:19:00Z</dcterms:created>
  <dcterms:modified xsi:type="dcterms:W3CDTF">2018-06-01T20:19:00Z</dcterms:modified>
</cp:coreProperties>
</file>