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789" w:rsidRDefault="008179E7">
      <w:pPr>
        <w:spacing w:after="0"/>
        <w:jc w:val="center"/>
        <w:rPr>
          <w:rFonts w:ascii="Bookman Old Style" w:eastAsia="Bookman Old Style" w:hAnsi="Bookman Old Style" w:cs="Bookman Old Style"/>
          <w:b/>
          <w:color w:val="205968"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color w:val="205968"/>
          <w:sz w:val="28"/>
          <w:szCs w:val="28"/>
        </w:rPr>
        <w:t>Plan de Trabajo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3636645</wp:posOffset>
            </wp:positionH>
            <wp:positionV relativeFrom="paragraph">
              <wp:posOffset>-833754</wp:posOffset>
            </wp:positionV>
            <wp:extent cx="1036955" cy="740410"/>
            <wp:effectExtent l="0" t="0" r="0" b="0"/>
            <wp:wrapSquare wrapText="bothSides" distT="0" distB="0" distL="114300" distR="114300"/>
            <wp:docPr id="4" name="image2.jpg" descr="C:\Users\SEDUC\Desktop\2022\logo 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C:\Users\SEDUC\Desktop\2022\logo SE.jpg"/>
                    <pic:cNvPicPr preferRelativeResize="0"/>
                  </pic:nvPicPr>
                  <pic:blipFill>
                    <a:blip r:embed="rId8"/>
                    <a:srcRect t="5190" b="5247"/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7404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02789" w:rsidRDefault="008179E7">
      <w:pPr>
        <w:spacing w:after="0"/>
        <w:jc w:val="center"/>
        <w:rPr>
          <w:rFonts w:ascii="Bookman Old Style" w:eastAsia="Bookman Old Style" w:hAnsi="Bookman Old Style" w:cs="Bookman Old Style"/>
          <w:b/>
          <w:color w:val="205968"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color w:val="205968"/>
          <w:sz w:val="28"/>
          <w:szCs w:val="28"/>
        </w:rPr>
        <w:t>Comité de Probidad y Ética de la Secretaría de Educación  Nivel Central</w:t>
      </w:r>
    </w:p>
    <w:p w:rsidR="00D02789" w:rsidRDefault="00376635">
      <w:pPr>
        <w:spacing w:after="0"/>
        <w:jc w:val="center"/>
        <w:rPr>
          <w:rFonts w:ascii="Bookman Old Style" w:eastAsia="Bookman Old Style" w:hAnsi="Bookman Old Style" w:cs="Bookman Old Style"/>
          <w:b/>
          <w:color w:val="205968"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color w:val="205968"/>
          <w:sz w:val="28"/>
          <w:szCs w:val="28"/>
        </w:rPr>
        <w:t>Periodo 2023</w:t>
      </w:r>
    </w:p>
    <w:tbl>
      <w:tblPr>
        <w:tblStyle w:val="a0"/>
        <w:tblW w:w="136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1304"/>
        <w:gridCol w:w="2552"/>
        <w:gridCol w:w="1276"/>
        <w:gridCol w:w="2090"/>
        <w:gridCol w:w="1595"/>
        <w:gridCol w:w="1390"/>
        <w:gridCol w:w="1395"/>
      </w:tblGrid>
      <w:tr w:rsidR="00D02789" w:rsidTr="00F408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5"/>
        </w:trPr>
        <w:tc>
          <w:tcPr>
            <w:tcW w:w="2093" w:type="dxa"/>
            <w:tcBorders>
              <w:left w:val="single" w:sz="4" w:space="0" w:color="000000"/>
              <w:right w:val="single" w:sz="4" w:space="0" w:color="000000"/>
            </w:tcBorders>
          </w:tcPr>
          <w:p w:rsidR="00D02789" w:rsidRDefault="008179E7">
            <w:pP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</w:pPr>
            <w: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  <w:t>OBJETIVOS</w:t>
            </w:r>
          </w:p>
        </w:tc>
        <w:tc>
          <w:tcPr>
            <w:tcW w:w="1304" w:type="dxa"/>
            <w:tcBorders>
              <w:left w:val="single" w:sz="4" w:space="0" w:color="000000"/>
              <w:right w:val="single" w:sz="4" w:space="0" w:color="000000"/>
            </w:tcBorders>
          </w:tcPr>
          <w:p w:rsidR="00D02789" w:rsidRDefault="008179E7">
            <w:pP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</w:pPr>
            <w: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  <w:t>METAS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D02789" w:rsidRDefault="008179E7">
            <w:pP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</w:pPr>
            <w: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  <w:t xml:space="preserve">ACTIVIDADES 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D02789" w:rsidRDefault="008179E7">
            <w:pP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</w:pPr>
            <w: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  <w:t>PERIODO DE TIEMPO</w:t>
            </w:r>
          </w:p>
        </w:tc>
        <w:tc>
          <w:tcPr>
            <w:tcW w:w="2090" w:type="dxa"/>
            <w:tcBorders>
              <w:left w:val="single" w:sz="4" w:space="0" w:color="000000"/>
              <w:right w:val="single" w:sz="4" w:space="0" w:color="000000"/>
            </w:tcBorders>
          </w:tcPr>
          <w:p w:rsidR="00D02789" w:rsidRDefault="008179E7">
            <w:pP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</w:pPr>
            <w: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  <w:t>INDICADORES DE LOGROS</w:t>
            </w:r>
          </w:p>
        </w:tc>
        <w:tc>
          <w:tcPr>
            <w:tcW w:w="1595" w:type="dxa"/>
            <w:tcBorders>
              <w:left w:val="single" w:sz="4" w:space="0" w:color="000000"/>
              <w:right w:val="single" w:sz="4" w:space="0" w:color="000000"/>
            </w:tcBorders>
          </w:tcPr>
          <w:p w:rsidR="00D02789" w:rsidRDefault="008179E7">
            <w:pP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</w:pPr>
            <w: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  <w:t>RESULTADOS O PRODUCTOS</w:t>
            </w:r>
          </w:p>
        </w:tc>
        <w:tc>
          <w:tcPr>
            <w:tcW w:w="1390" w:type="dxa"/>
            <w:tcBorders>
              <w:left w:val="single" w:sz="4" w:space="0" w:color="000000"/>
              <w:right w:val="single" w:sz="4" w:space="0" w:color="000000"/>
            </w:tcBorders>
          </w:tcPr>
          <w:p w:rsidR="00D02789" w:rsidRDefault="008179E7">
            <w:pP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</w:pPr>
            <w: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  <w:t xml:space="preserve">RESPONSABLES </w:t>
            </w:r>
          </w:p>
        </w:tc>
        <w:tc>
          <w:tcPr>
            <w:tcW w:w="1395" w:type="dxa"/>
            <w:tcBorders>
              <w:left w:val="single" w:sz="4" w:space="0" w:color="000000"/>
              <w:right w:val="single" w:sz="4" w:space="0" w:color="000000"/>
            </w:tcBorders>
          </w:tcPr>
          <w:p w:rsidR="00D02789" w:rsidRDefault="008179E7">
            <w:pP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</w:pPr>
            <w: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  <w:t xml:space="preserve">RECURSOS </w:t>
            </w:r>
          </w:p>
          <w:p w:rsidR="00D02789" w:rsidRDefault="00D02789">
            <w:pPr>
              <w:rPr>
                <w:rFonts w:ascii="Latha" w:eastAsia="Latha" w:hAnsi="Latha" w:cs="Latha"/>
                <w:b/>
                <w:color w:val="000000"/>
                <w:sz w:val="20"/>
                <w:szCs w:val="20"/>
              </w:rPr>
            </w:pPr>
          </w:p>
        </w:tc>
      </w:tr>
      <w:tr w:rsidR="00D02789" w:rsidTr="00F4082F">
        <w:trPr>
          <w:trHeight w:val="2110"/>
        </w:trPr>
        <w:tc>
          <w:tcPr>
            <w:tcW w:w="2093" w:type="dxa"/>
            <w:tcBorders>
              <w:bottom w:val="single" w:sz="4" w:space="0" w:color="auto"/>
            </w:tcBorders>
          </w:tcPr>
          <w:p w:rsidR="00D02789" w:rsidRPr="00CC6C43" w:rsidRDefault="008179E7">
            <w:pPr>
              <w:rPr>
                <w:rFonts w:ascii="Latha" w:eastAsia="Latha" w:hAnsi="Latha" w:cs="Latha"/>
                <w:color w:val="000000" w:themeColor="text1"/>
                <w:sz w:val="18"/>
                <w:szCs w:val="18"/>
              </w:rPr>
            </w:pPr>
            <w:r w:rsidRPr="00CC6C43">
              <w:rPr>
                <w:rFonts w:ascii="Latha" w:eastAsia="Latha" w:hAnsi="Latha" w:cs="Latha"/>
                <w:color w:val="000000" w:themeColor="text1"/>
                <w:sz w:val="18"/>
                <w:szCs w:val="18"/>
              </w:rPr>
              <w:t>Elaborar el plan de trabajo del comité de P</w:t>
            </w:r>
            <w:r w:rsidR="00376635">
              <w:rPr>
                <w:rFonts w:ascii="Latha" w:eastAsia="Latha" w:hAnsi="Latha" w:cs="Latha"/>
                <w:color w:val="000000" w:themeColor="text1"/>
                <w:sz w:val="18"/>
                <w:szCs w:val="18"/>
              </w:rPr>
              <w:t>robidad y Ética del periodo 2023</w:t>
            </w:r>
            <w:r w:rsidRPr="00CC6C43">
              <w:rPr>
                <w:rFonts w:ascii="Latha" w:eastAsia="Latha" w:hAnsi="Latha" w:cs="Latha"/>
                <w:color w:val="000000" w:themeColor="text1"/>
                <w:sz w:val="18"/>
                <w:szCs w:val="18"/>
              </w:rPr>
              <w:t xml:space="preserve"> de la Secretaría de Educación 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D02789" w:rsidRDefault="00533986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Desarrollo</w:t>
            </w:r>
            <w:r w:rsidR="00376635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al </w:t>
            </w:r>
            <w:r w:rsidR="008179E7">
              <w:rPr>
                <w:rFonts w:ascii="Latha" w:eastAsia="Latha" w:hAnsi="Latha" w:cs="Latha"/>
                <w:color w:val="000000"/>
                <w:sz w:val="18"/>
                <w:szCs w:val="18"/>
              </w:rPr>
              <w:t>100% de las actividades programadas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trimestral mente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376635" w:rsidRDefault="00376635">
            <w:pPr>
              <w:numPr>
                <w:ilvl w:val="0"/>
                <w:numId w:val="3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Solicitar la asignación del espacio físico para el funcionamiento del Comité de </w:t>
            </w:r>
            <w:r w:rsidR="00533986">
              <w:rPr>
                <w:rFonts w:ascii="Latha" w:eastAsia="Latha" w:hAnsi="Latha" w:cs="Latha"/>
                <w:color w:val="000000"/>
                <w:sz w:val="18"/>
                <w:szCs w:val="18"/>
              </w:rPr>
              <w:t>Probidad de Ética de la Secretaría de Educación.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</w:p>
          <w:p w:rsidR="00725F5C" w:rsidRPr="00533986" w:rsidRDefault="00725F5C" w:rsidP="00533986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533986">
              <w:rPr>
                <w:rFonts w:ascii="Latha" w:eastAsia="Latha" w:hAnsi="Latha" w:cs="Latha"/>
                <w:color w:val="000000"/>
                <w:sz w:val="18"/>
                <w:szCs w:val="18"/>
              </w:rPr>
              <w:t>El CPE/SE proporciona  información de las actividades desarro</w:t>
            </w:r>
            <w:r w:rsidR="00533986" w:rsidRPr="00533986">
              <w:rPr>
                <w:rFonts w:ascii="Latha" w:eastAsia="Latha" w:hAnsi="Latha" w:cs="Latha"/>
                <w:color w:val="000000"/>
                <w:sz w:val="18"/>
                <w:szCs w:val="18"/>
              </w:rPr>
              <w:t>lladas según el plan de trabajo, a quién lo solicite</w:t>
            </w:r>
          </w:p>
          <w:p w:rsidR="00D02789" w:rsidRDefault="00D02789" w:rsidP="00376635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05703B" w:rsidRDefault="0005703B" w:rsidP="00376635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2789" w:rsidRDefault="00376635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Enero a Marzo 2023.</w:t>
            </w: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D02789" w:rsidRDefault="008179E7">
            <w:pPr>
              <w:numPr>
                <w:ilvl w:val="0"/>
                <w:numId w:val="1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Presentar el plan de acción </w:t>
            </w:r>
            <w:r w:rsidR="00376635">
              <w:rPr>
                <w:rFonts w:ascii="Latha" w:eastAsia="Latha" w:hAnsi="Latha" w:cs="Latha"/>
                <w:color w:val="000000"/>
                <w:sz w:val="18"/>
                <w:szCs w:val="18"/>
              </w:rPr>
              <w:t>del comité de ética del año 2023</w:t>
            </w:r>
            <w:r w:rsidR="0005703B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, ante el TSC para su respectiva </w:t>
            </w:r>
            <w:r w:rsidR="00533986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Revisión y </w:t>
            </w:r>
            <w:r w:rsidR="0005703B">
              <w:rPr>
                <w:rFonts w:ascii="Latha" w:eastAsia="Latha" w:hAnsi="Latha" w:cs="Latha"/>
                <w:color w:val="000000"/>
                <w:sz w:val="18"/>
                <w:szCs w:val="18"/>
              </w:rPr>
              <w:t>aprobación.</w:t>
            </w:r>
          </w:p>
          <w:p w:rsidR="00533986" w:rsidRDefault="00533986">
            <w:pPr>
              <w:numPr>
                <w:ilvl w:val="0"/>
                <w:numId w:val="1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Entrega del Plan de Trabajo anual, a la (MAE) </w:t>
            </w:r>
          </w:p>
          <w:p w:rsidR="00533986" w:rsidRDefault="00533986" w:rsidP="00533986">
            <w:pPr>
              <w:numPr>
                <w:ilvl w:val="0"/>
                <w:numId w:val="1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533986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Apoyo al Comité de Control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Interno Institucional (COCOIN)</w:t>
            </w:r>
          </w:p>
          <w:p w:rsidR="002467A2" w:rsidRPr="00533986" w:rsidRDefault="002467A2" w:rsidP="00533986">
            <w:pPr>
              <w:numPr>
                <w:ilvl w:val="0"/>
                <w:numId w:val="1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533986">
              <w:rPr>
                <w:rFonts w:ascii="Latha" w:eastAsia="Latha" w:hAnsi="Latha" w:cs="Latha"/>
                <w:color w:val="000000"/>
                <w:sz w:val="18"/>
                <w:szCs w:val="18"/>
              </w:rPr>
              <w:t>Solicitar a la</w:t>
            </w:r>
            <w:r w:rsidR="00533986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MAE, el apoyo logístico para llevar acabo las diferentes actividades según </w:t>
            </w:r>
            <w:r w:rsidR="00533986"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 xml:space="preserve">el plan de trabajo de este (CPESP) </w:t>
            </w:r>
            <w:r w:rsidR="00745FD9" w:rsidRPr="00533986">
              <w:rPr>
                <w:rFonts w:ascii="Latha" w:eastAsia="Latha" w:hAnsi="Latha" w:cs="Latha"/>
                <w:color w:val="000000"/>
                <w:sz w:val="18"/>
                <w:szCs w:val="18"/>
              </w:rPr>
              <w:t>periodo 2023.</w:t>
            </w:r>
          </w:p>
          <w:p w:rsidR="00D02789" w:rsidRPr="002467A2" w:rsidRDefault="00D02789" w:rsidP="00060957">
            <w:pPr>
              <w:pStyle w:val="Prrafodelista"/>
              <w:ind w:left="360"/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D02789" w:rsidRDefault="006E6070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 xml:space="preserve">Participación </w:t>
            </w:r>
            <w:r w:rsidR="008179E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del Comité </w:t>
            </w:r>
            <w:r w:rsidR="00A92AB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de Probidad y Ética/SE, en las diferentes actividades que se realizan en esta Secretaría. </w:t>
            </w:r>
          </w:p>
          <w:p w:rsidR="006E6070" w:rsidRDefault="006E6070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D02789" w:rsidRDefault="006E6070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Presentación de informes </w:t>
            </w:r>
            <w:r w:rsidR="00A92AB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trimestrales,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del trabajo realizado por el Com</w:t>
            </w:r>
            <w:r w:rsidR="00A92AB0">
              <w:rPr>
                <w:rFonts w:ascii="Latha" w:eastAsia="Latha" w:hAnsi="Latha" w:cs="Latha"/>
                <w:color w:val="000000"/>
                <w:sz w:val="18"/>
                <w:szCs w:val="18"/>
              </w:rPr>
              <w:t>ité de Probidad y Ética, ante el TSC, Comité adjunto, MAE, COCOIN y quienes lo soliciten</w:t>
            </w:r>
          </w:p>
          <w:p w:rsidR="00D02789" w:rsidRDefault="00D02789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:rsidR="00D02789" w:rsidRDefault="008179E7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 xml:space="preserve">Comité de </w:t>
            </w:r>
            <w:r w:rsidR="006E607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Probidad y Ética-SE </w:t>
            </w:r>
            <w:r w:rsidR="00A92AB0">
              <w:rPr>
                <w:rFonts w:ascii="Latha" w:eastAsia="Latha" w:hAnsi="Latha" w:cs="Latha"/>
                <w:color w:val="000000"/>
                <w:sz w:val="18"/>
                <w:szCs w:val="18"/>
              </w:rPr>
              <w:t>y Dirección General de Probidad de Ética del TSC.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D02789" w:rsidRDefault="00045A6B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Recurso</w:t>
            </w:r>
            <w:r w:rsidR="006E6070">
              <w:rPr>
                <w:rFonts w:ascii="Latha" w:eastAsia="Latha" w:hAnsi="Latha" w:cs="Latha"/>
                <w:color w:val="000000"/>
                <w:sz w:val="18"/>
                <w:szCs w:val="18"/>
              </w:rPr>
              <w:t>s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Humano</w:t>
            </w:r>
            <w:r w:rsidR="006E607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s, Materiales, Tecnológicos y/o  </w:t>
            </w:r>
          </w:p>
          <w:p w:rsidR="00D02789" w:rsidRDefault="00E272C4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otros</w:t>
            </w:r>
          </w:p>
        </w:tc>
      </w:tr>
      <w:tr w:rsidR="00E272C4" w:rsidTr="00F408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C4" w:rsidRPr="00446577" w:rsidRDefault="00A70F81" w:rsidP="00A70F81">
            <w:pPr>
              <w:rPr>
                <w:rFonts w:ascii="Latha" w:eastAsia="Latha" w:hAnsi="Latha" w:cs="Latha"/>
                <w:color w:val="FF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auto"/>
                <w:sz w:val="18"/>
                <w:szCs w:val="18"/>
              </w:rPr>
              <w:lastRenderedPageBreak/>
              <w:t>Informar</w:t>
            </w:r>
            <w:r w:rsidR="000942C4" w:rsidRPr="00743175"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al TSC </w:t>
            </w:r>
            <w:proofErr w:type="spellStart"/>
            <w:r>
              <w:rPr>
                <w:rFonts w:ascii="Latha" w:eastAsia="Latha" w:hAnsi="Latha" w:cs="Latha"/>
                <w:color w:val="auto"/>
                <w:sz w:val="18"/>
                <w:szCs w:val="18"/>
              </w:rPr>
              <w:t>atraves</w:t>
            </w:r>
            <w:proofErr w:type="spellEnd"/>
            <w:r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 de</w:t>
            </w:r>
            <w:r w:rsidR="000942C4" w:rsidRPr="00743175"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 los enlaces/ asesores de</w:t>
            </w:r>
            <w:r w:rsidR="003D4491"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 la</w:t>
            </w:r>
            <w:r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  Dirección de </w:t>
            </w:r>
            <w:r w:rsidR="000942C4" w:rsidRPr="00743175"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Probidad y Ética </w:t>
            </w:r>
            <w:r>
              <w:rPr>
                <w:rFonts w:ascii="Latha" w:eastAsia="Latha" w:hAnsi="Latha" w:cs="Latha"/>
                <w:color w:val="auto"/>
                <w:sz w:val="18"/>
                <w:szCs w:val="18"/>
              </w:rPr>
              <w:t>mediante los informes y</w:t>
            </w:r>
            <w:r w:rsidR="000942C4" w:rsidRPr="00743175"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 logros de las actividades desarrolladas por el C</w:t>
            </w:r>
            <w:r w:rsidR="007D5E31" w:rsidRPr="00743175">
              <w:rPr>
                <w:rFonts w:ascii="Latha" w:eastAsia="Latha" w:hAnsi="Latha" w:cs="Latha"/>
                <w:color w:val="auto"/>
                <w:sz w:val="18"/>
                <w:szCs w:val="18"/>
              </w:rPr>
              <w:t>omité de</w:t>
            </w:r>
            <w:r w:rsidR="000942C4" w:rsidRPr="00743175"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 Probidad y </w:t>
            </w:r>
            <w:r w:rsidR="007D5E31" w:rsidRPr="00743175"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 Ética</w:t>
            </w:r>
            <w:r w:rsidR="000942C4" w:rsidRPr="00743175"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 de la Secretarí</w:t>
            </w:r>
            <w:r w:rsidR="007D5E31" w:rsidRPr="00743175">
              <w:rPr>
                <w:rFonts w:ascii="Latha" w:eastAsia="Latha" w:hAnsi="Latha" w:cs="Latha"/>
                <w:color w:val="auto"/>
                <w:sz w:val="18"/>
                <w:szCs w:val="18"/>
              </w:rPr>
              <w:t>a de  la</w:t>
            </w:r>
            <w:r w:rsidR="000942C4" w:rsidRPr="00743175">
              <w:rPr>
                <w:rFonts w:ascii="Latha" w:eastAsia="Latha" w:hAnsi="Latha" w:cs="Latha"/>
                <w:color w:val="auto"/>
                <w:sz w:val="18"/>
                <w:szCs w:val="18"/>
              </w:rPr>
              <w:t xml:space="preserve"> Educación/CCG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2F" w:rsidRDefault="00BE1312" w:rsidP="00260BFF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C4" w:rsidRDefault="00F36E44" w:rsidP="00260BFF">
            <w:pPr>
              <w:pStyle w:val="Prrafodelista"/>
              <w:numPr>
                <w:ilvl w:val="0"/>
                <w:numId w:val="5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Socializar </w:t>
            </w:r>
            <w:r w:rsidR="00260BF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a través de los </w:t>
            </w:r>
            <w:r w:rsidR="00260BFF" w:rsidRPr="00273ECA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medios </w:t>
            </w:r>
            <w:r w:rsidR="00260BF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digitales </w:t>
            </w:r>
            <w:r w:rsidR="003D4491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(Plataforma) </w:t>
            </w:r>
            <w:r w:rsidR="00B91EE2" w:rsidRPr="00273ECA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el </w:t>
            </w:r>
            <w:r w:rsidR="00260BFF">
              <w:rPr>
                <w:rFonts w:ascii="Latha" w:eastAsia="Latha" w:hAnsi="Latha" w:cs="Latha"/>
                <w:color w:val="000000"/>
                <w:sz w:val="18"/>
                <w:szCs w:val="18"/>
              </w:rPr>
              <w:t>Código de Conducta É</w:t>
            </w:r>
            <w:r w:rsidR="00260BFF" w:rsidRPr="00273ECA">
              <w:rPr>
                <w:rFonts w:ascii="Latha" w:eastAsia="Latha" w:hAnsi="Latha" w:cs="Latha"/>
                <w:color w:val="000000"/>
                <w:sz w:val="18"/>
                <w:szCs w:val="18"/>
              </w:rPr>
              <w:t>tica</w:t>
            </w:r>
            <w:r w:rsidR="00E7429E" w:rsidRPr="00273ECA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="00E2766C">
              <w:rPr>
                <w:rFonts w:ascii="Latha" w:eastAsia="Latha" w:hAnsi="Latha" w:cs="Latha"/>
                <w:color w:val="000000"/>
                <w:sz w:val="18"/>
                <w:szCs w:val="18"/>
              </w:rPr>
              <w:t>del Servidor P</w:t>
            </w:r>
            <w:r w:rsidR="00E7429E" w:rsidRPr="00273ECA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úblico, a </w:t>
            </w:r>
            <w:r w:rsidR="00260BF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los </w:t>
            </w:r>
            <w:r w:rsidR="00E7429E" w:rsidRPr="00273ECA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funcionario</w:t>
            </w:r>
            <w:r w:rsidR="00260BFF">
              <w:rPr>
                <w:rFonts w:ascii="Latha" w:eastAsia="Latha" w:hAnsi="Latha" w:cs="Latha"/>
                <w:color w:val="000000"/>
                <w:sz w:val="18"/>
                <w:szCs w:val="18"/>
              </w:rPr>
              <w:t>s</w:t>
            </w:r>
            <w:r w:rsidR="00E7429E" w:rsidRPr="00273ECA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="00A70F81">
              <w:rPr>
                <w:rFonts w:ascii="Latha" w:eastAsia="Latha" w:hAnsi="Latha" w:cs="Latha"/>
                <w:color w:val="000000"/>
                <w:sz w:val="18"/>
                <w:szCs w:val="18"/>
              </w:rPr>
              <w:t>(as)</w:t>
            </w:r>
            <w:r w:rsidR="00E7429E" w:rsidRPr="00273ECA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de la S</w:t>
            </w:r>
            <w:r w:rsidR="00A70F81">
              <w:rPr>
                <w:rFonts w:ascii="Latha" w:eastAsia="Latha" w:hAnsi="Latha" w:cs="Latha"/>
                <w:color w:val="000000"/>
                <w:sz w:val="18"/>
                <w:szCs w:val="18"/>
              </w:rPr>
              <w:t>ecretarí</w:t>
            </w:r>
            <w:r w:rsidR="00260BF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a de </w:t>
            </w:r>
            <w:r w:rsidR="003D4491" w:rsidRPr="00273ECA">
              <w:rPr>
                <w:rFonts w:ascii="Latha" w:eastAsia="Latha" w:hAnsi="Latha" w:cs="Latha"/>
                <w:color w:val="000000"/>
                <w:sz w:val="18"/>
                <w:szCs w:val="18"/>
              </w:rPr>
              <w:t>E</w:t>
            </w:r>
            <w:r w:rsidR="003D4491">
              <w:rPr>
                <w:rFonts w:ascii="Latha" w:eastAsia="Latha" w:hAnsi="Latha" w:cs="Latha"/>
                <w:color w:val="000000"/>
                <w:sz w:val="18"/>
                <w:szCs w:val="18"/>
              </w:rPr>
              <w:t>ducación</w:t>
            </w:r>
            <w:r w:rsidR="00260BFF">
              <w:rPr>
                <w:rFonts w:ascii="Latha" w:eastAsia="Latha" w:hAnsi="Latha" w:cs="Latha"/>
                <w:color w:val="000000"/>
                <w:sz w:val="18"/>
                <w:szCs w:val="18"/>
              </w:rPr>
              <w:t>-CCG</w:t>
            </w:r>
            <w:r w:rsidR="003D4491">
              <w:rPr>
                <w:rFonts w:ascii="Latha" w:eastAsia="Latha" w:hAnsi="Latha" w:cs="Latha"/>
                <w:color w:val="000000"/>
                <w:sz w:val="18"/>
                <w:szCs w:val="18"/>
              </w:rPr>
              <w:t>.</w:t>
            </w:r>
          </w:p>
          <w:p w:rsidR="003D4491" w:rsidRPr="00E2766C" w:rsidRDefault="003D4491" w:rsidP="003D4491">
            <w:pPr>
              <w:pStyle w:val="Prrafodelista"/>
              <w:ind w:left="360"/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3D4491">
              <w:rPr>
                <w:rFonts w:ascii="Latha" w:eastAsia="Latha" w:hAnsi="Latha" w:cs="Latha"/>
                <w:color w:val="000000"/>
                <w:sz w:val="18"/>
                <w:szCs w:val="18"/>
              </w:rPr>
              <w:t>https://www.se.gob.hn/comite_etica_perfil/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C4" w:rsidRPr="007F51F7" w:rsidRDefault="007E55F7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31 de Marzo -2023</w:t>
            </w:r>
          </w:p>
          <w:p w:rsidR="007E55F7" w:rsidRPr="007F51F7" w:rsidRDefault="007E55F7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7E55F7" w:rsidRPr="007F51F7" w:rsidRDefault="007E55F7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30 de junio 2023</w:t>
            </w:r>
          </w:p>
          <w:p w:rsidR="007E55F7" w:rsidRPr="007F51F7" w:rsidRDefault="007E55F7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C4" w:rsidRPr="00B91EE2" w:rsidRDefault="00260BFF" w:rsidP="00F36E44">
            <w:pPr>
              <w:pStyle w:val="Prrafodelista"/>
              <w:numPr>
                <w:ilvl w:val="0"/>
                <w:numId w:val="4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Difundir  </w:t>
            </w:r>
            <w:r w:rsidR="00F36E44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en las </w:t>
            </w:r>
            <w:r w:rsidR="00273ECA">
              <w:rPr>
                <w:rFonts w:ascii="Latha" w:eastAsia="Latha" w:hAnsi="Latha" w:cs="Latha"/>
                <w:color w:val="000000"/>
                <w:sz w:val="18"/>
                <w:szCs w:val="18"/>
              </w:rPr>
              <w:t>Plataforma</w:t>
            </w:r>
            <w:r w:rsidR="00F36E44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digital</w:t>
            </w:r>
            <w:r w:rsidR="00F36E44">
              <w:rPr>
                <w:rFonts w:ascii="Latha" w:eastAsia="Latha" w:hAnsi="Latha" w:cs="Latha"/>
                <w:color w:val="000000"/>
                <w:sz w:val="18"/>
                <w:szCs w:val="18"/>
              </w:rPr>
              <w:t>es el C</w:t>
            </w:r>
            <w:r w:rsidR="00F36E44" w:rsidRPr="00E7429E">
              <w:rPr>
                <w:rFonts w:ascii="Latha" w:eastAsia="Latha" w:hAnsi="Latha" w:cs="Latha"/>
                <w:color w:val="000000"/>
                <w:sz w:val="18"/>
                <w:szCs w:val="18"/>
              </w:rPr>
              <w:t>ódigo</w:t>
            </w:r>
            <w:r w:rsidR="00F36E44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="0044657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y reglamento </w:t>
            </w:r>
            <w:r w:rsidR="00F36E44">
              <w:rPr>
                <w:rFonts w:ascii="Latha" w:eastAsia="Latha" w:hAnsi="Latha" w:cs="Latha"/>
                <w:color w:val="000000"/>
                <w:sz w:val="18"/>
                <w:szCs w:val="18"/>
              </w:rPr>
              <w:t>de Conducta  Ética del Servid</w:t>
            </w:r>
            <w:r w:rsidR="00A70F81">
              <w:rPr>
                <w:rFonts w:ascii="Latha" w:eastAsia="Latha" w:hAnsi="Latha" w:cs="Latha"/>
                <w:color w:val="000000"/>
                <w:sz w:val="18"/>
                <w:szCs w:val="18"/>
              </w:rPr>
              <w:t>or Público de la SE/CCG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C4" w:rsidRDefault="00F36E44" w:rsidP="00F36E44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Todo funcionario público debe de conocer</w:t>
            </w:r>
            <w:r w:rsidR="00A70F81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las normas de conducta </w:t>
            </w:r>
            <w:r w:rsidR="002B76EC">
              <w:rPr>
                <w:rFonts w:ascii="Latha" w:eastAsia="Latha" w:hAnsi="Latha" w:cs="Latha"/>
                <w:color w:val="000000"/>
                <w:sz w:val="18"/>
                <w:szCs w:val="18"/>
              </w:rPr>
              <w:t>ética,</w:t>
            </w:r>
            <w:r w:rsidR="00A70F81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dando cumplimiento y aplicación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en el desarrollo de sus funciones.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C4" w:rsidRDefault="00E2766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Comité de Ética</w:t>
            </w:r>
            <w:r w:rsidR="00BE1312">
              <w:rPr>
                <w:rFonts w:ascii="Latha" w:eastAsia="Latha" w:hAnsi="Latha" w:cs="Latha"/>
                <w:color w:val="000000"/>
                <w:sz w:val="18"/>
                <w:szCs w:val="18"/>
              </w:rPr>
              <w:t>, COCOCIN, TSC.</w:t>
            </w:r>
            <w:bookmarkStart w:id="0" w:name="_GoBack"/>
            <w:bookmarkEnd w:id="0"/>
          </w:p>
          <w:p w:rsidR="00BE1312" w:rsidRDefault="00BE1312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Despacho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6C" w:rsidRDefault="00850693" w:rsidP="00E2766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Logística</w:t>
            </w:r>
          </w:p>
          <w:p w:rsidR="00E2766C" w:rsidRDefault="00E2766C" w:rsidP="00E2766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Materiales</w:t>
            </w:r>
          </w:p>
          <w:p w:rsidR="00E2766C" w:rsidRDefault="00E2766C" w:rsidP="00E2766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Recurso Humano</w:t>
            </w:r>
          </w:p>
          <w:p w:rsidR="00E272C4" w:rsidRDefault="00F66F80" w:rsidP="00E2766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Equipo </w:t>
            </w:r>
            <w:r w:rsidR="00E2766C">
              <w:rPr>
                <w:rFonts w:ascii="Latha" w:eastAsia="Latha" w:hAnsi="Latha" w:cs="Latha"/>
                <w:color w:val="000000"/>
                <w:sz w:val="18"/>
                <w:szCs w:val="18"/>
              </w:rPr>
              <w:t>entre otros</w:t>
            </w:r>
          </w:p>
        </w:tc>
      </w:tr>
      <w:tr w:rsidR="007D5E31" w:rsidTr="00F4082F">
        <w:trPr>
          <w:trHeight w:val="2110"/>
        </w:trPr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E31" w:rsidRDefault="007D5E31" w:rsidP="00E75CAD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Promover los valores de la </w:t>
            </w:r>
            <w:r w:rsidR="00E75CAD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honradez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y Honestidad con </w:t>
            </w:r>
            <w:r w:rsidR="00C1327F">
              <w:rPr>
                <w:rFonts w:ascii="Latha" w:eastAsia="Latha" w:hAnsi="Latha" w:cs="Latha"/>
                <w:color w:val="000000"/>
                <w:sz w:val="18"/>
                <w:szCs w:val="18"/>
              </w:rPr>
              <w:t>los funcionarios de la Secretarí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a de</w:t>
            </w:r>
            <w:r w:rsidR="002B76EC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Educación, en el nivel Central/CCG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E31" w:rsidRDefault="002D5A9C" w:rsidP="007D5E3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E31" w:rsidRPr="00607CDC" w:rsidRDefault="007D5E31" w:rsidP="002B76EC">
            <w:pPr>
              <w:jc w:val="both"/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Div</w:t>
            </w:r>
            <w:r w:rsidR="00DD33A4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ulgar a través de la plataforma y redes sociales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los valores éticos </w:t>
            </w:r>
            <w:r w:rsidR="002B76EC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Propuestos por el TSC, tales como: Honradez,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Honestidad</w:t>
            </w:r>
            <w:r w:rsidR="002B76EC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mediante la plataforma de</w:t>
            </w:r>
            <w:r w:rsidR="002B76EC">
              <w:rPr>
                <w:rFonts w:ascii="Latha" w:eastAsia="Latha" w:hAnsi="Latha" w:cs="Latha"/>
                <w:color w:val="000000"/>
                <w:sz w:val="18"/>
                <w:szCs w:val="18"/>
              </w:rPr>
              <w:t>l Comité en la página Web</w:t>
            </w:r>
            <w:r w:rsidR="00C1327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de la SE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E31" w:rsidRPr="007F51F7" w:rsidRDefault="007E55F7" w:rsidP="002D5A9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29 de septiembre 2023</w:t>
            </w:r>
          </w:p>
          <w:p w:rsidR="007E55F7" w:rsidRPr="007F51F7" w:rsidRDefault="007E55F7" w:rsidP="002D5A9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7E55F7" w:rsidRPr="007F51F7" w:rsidRDefault="007E55F7" w:rsidP="002D5A9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7E55F7" w:rsidRPr="007F51F7" w:rsidRDefault="007E55F7" w:rsidP="002D5A9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07 de Diciembre 2023</w:t>
            </w:r>
          </w:p>
        </w:tc>
        <w:tc>
          <w:tcPr>
            <w:tcW w:w="20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E31" w:rsidRDefault="007D5E31" w:rsidP="007D5E3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Información digital, Videos, consultas  digitales</w:t>
            </w:r>
            <w:r w:rsidR="0008772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por plataforma y redes sociales</w:t>
            </w:r>
            <w:r w:rsidR="00C1327F">
              <w:rPr>
                <w:rFonts w:ascii="Latha" w:eastAsia="Latha" w:hAnsi="Latha" w:cs="Latha"/>
                <w:color w:val="000000"/>
                <w:sz w:val="18"/>
                <w:szCs w:val="18"/>
              </w:rPr>
              <w:t>.</w:t>
            </w:r>
            <w:r w:rsidR="0008772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</w:p>
          <w:p w:rsidR="007D5E31" w:rsidRPr="00607CDC" w:rsidRDefault="007D5E31" w:rsidP="007D5E3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E31" w:rsidRDefault="007D5E31" w:rsidP="007D5E3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Estadísticas de evaluación.</w:t>
            </w:r>
          </w:p>
          <w:p w:rsidR="007D5E31" w:rsidRDefault="007D5E31" w:rsidP="007D5E3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Análisis de resultados obtenidos. </w:t>
            </w:r>
          </w:p>
          <w:p w:rsidR="007D5E31" w:rsidRDefault="007D5E31" w:rsidP="007D5E3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Divulgación de Resultados </w:t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E31" w:rsidRPr="00B85847" w:rsidRDefault="007D5E31" w:rsidP="007D5E3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Miembros del Comité de Probidad y Ética de los Funcionarios Públicos de la SE</w:t>
            </w:r>
            <w:r w:rsidR="002848C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y Asesores del TSC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5E31" w:rsidRDefault="007D5E31" w:rsidP="007D5E3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Recursos Humanos</w:t>
            </w:r>
            <w:r w:rsidR="002848C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y</w:t>
            </w:r>
          </w:p>
          <w:p w:rsidR="007D5E31" w:rsidRDefault="007D5E31" w:rsidP="007D5E3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Tecnológicos</w:t>
            </w:r>
          </w:p>
        </w:tc>
      </w:tr>
      <w:tr w:rsidR="009D6551" w:rsidTr="00F408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0"/>
        </w:trPr>
        <w:tc>
          <w:tcPr>
            <w:tcW w:w="20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551" w:rsidRDefault="002848C0" w:rsidP="00443D58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 xml:space="preserve">Coordinar </w:t>
            </w:r>
            <w:r w:rsidR="001C376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reunión de trabajo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con </w:t>
            </w:r>
            <w:r w:rsidR="00443D58">
              <w:rPr>
                <w:rFonts w:ascii="Latha" w:eastAsia="Latha" w:hAnsi="Latha" w:cs="Latha"/>
                <w:color w:val="000000"/>
                <w:sz w:val="18"/>
                <w:szCs w:val="18"/>
              </w:rPr>
              <w:t>los miembros del Comité Adjunto y</w:t>
            </w:r>
            <w:r w:rsidR="001C376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los miembros del</w:t>
            </w:r>
            <w:r w:rsidR="00443D5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CPESP</w:t>
            </w:r>
            <w:r w:rsidR="009D6551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="001C376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de </w:t>
            </w:r>
            <w:r w:rsidR="009D6551">
              <w:rPr>
                <w:rFonts w:ascii="Latha" w:eastAsia="Latha" w:hAnsi="Latha" w:cs="Latha"/>
                <w:color w:val="000000"/>
                <w:sz w:val="18"/>
                <w:szCs w:val="18"/>
              </w:rPr>
              <w:t>la SE/CCG.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551" w:rsidRDefault="002D5A9C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551" w:rsidRDefault="00D152D4" w:rsidP="00D152D4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Dar a conocer </w:t>
            </w:r>
            <w:r w:rsidR="00D7764D" w:rsidRPr="00D7764D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sobre el plan de trabajo anual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2023</w:t>
            </w:r>
            <w:r w:rsidR="00D7764D" w:rsidRPr="00D7764D">
              <w:rPr>
                <w:rFonts w:ascii="Latha" w:eastAsia="Latha" w:hAnsi="Latha" w:cs="Latha"/>
                <w:color w:val="000000"/>
                <w:sz w:val="18"/>
                <w:szCs w:val="18"/>
              </w:rPr>
              <w:t>, manifestar</w:t>
            </w:r>
            <w:r w:rsidR="00D7764D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="009D6551" w:rsidRPr="00D7764D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las debilidades  y los desafíos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del </w:t>
            </w:r>
            <w:r w:rsidR="00D7764D">
              <w:rPr>
                <w:rFonts w:ascii="Latha" w:eastAsia="Latha" w:hAnsi="Latha" w:cs="Latha"/>
                <w:color w:val="000000"/>
                <w:sz w:val="18"/>
                <w:szCs w:val="18"/>
              </w:rPr>
              <w:t>año anterior en pro de mejora para el 2023.</w:t>
            </w:r>
          </w:p>
          <w:p w:rsidR="00D152D4" w:rsidRPr="00D7764D" w:rsidRDefault="00D152D4" w:rsidP="00D152D4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Informar sobre la integración de un nuevo miembro del Comité en sustitución de uno de los vocales</w:t>
            </w:r>
            <w:r w:rsidR="00C1327F">
              <w:rPr>
                <w:rFonts w:ascii="Latha" w:eastAsia="Latha" w:hAnsi="Latha" w:cs="Latha"/>
                <w:color w:val="000000"/>
                <w:sz w:val="18"/>
                <w:szCs w:val="18"/>
              </w:rPr>
              <w:t>.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</w:p>
          <w:p w:rsidR="009D6551" w:rsidRPr="00883506" w:rsidRDefault="009D6551" w:rsidP="00D7764D">
            <w:pPr>
              <w:pStyle w:val="Prrafodelista"/>
              <w:jc w:val="both"/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551" w:rsidRPr="007F51F7" w:rsidRDefault="001C3768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Marzo</w:t>
            </w:r>
            <w:r w:rsidR="009D6551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2023</w:t>
            </w:r>
          </w:p>
        </w:tc>
        <w:tc>
          <w:tcPr>
            <w:tcW w:w="20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551" w:rsidRPr="00607CDC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Comunicación directa </w:t>
            </w:r>
            <w:r w:rsidR="00D152D4">
              <w:rPr>
                <w:rFonts w:ascii="Latha" w:eastAsia="Latha" w:hAnsi="Latha" w:cs="Latha"/>
                <w:color w:val="000000"/>
                <w:sz w:val="18"/>
                <w:szCs w:val="18"/>
              </w:rPr>
              <w:t>Interna y Externa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Cronograma de las actividades ejecutadas por  </w:t>
            </w:r>
            <w:r w:rsidR="00E1469E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el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Comité de Probidad y Ética-SE</w:t>
            </w:r>
            <w:r w:rsidR="00E1469E">
              <w:rPr>
                <w:rFonts w:ascii="Latha" w:eastAsia="Latha" w:hAnsi="Latha" w:cs="Latha"/>
                <w:color w:val="000000"/>
                <w:sz w:val="18"/>
                <w:szCs w:val="18"/>
              </w:rPr>
              <w:t>/CCG</w:t>
            </w: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551" w:rsidRPr="00B85847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Miembros del Comité de Probidad y Ética de los Funcionarios Públicos de la SE</w:t>
            </w:r>
            <w:r w:rsidR="00E1469E">
              <w:rPr>
                <w:rFonts w:ascii="Latha" w:eastAsia="Latha" w:hAnsi="Latha" w:cs="Latha"/>
                <w:color w:val="000000"/>
                <w:sz w:val="18"/>
                <w:szCs w:val="18"/>
              </w:rPr>
              <w:t>/CCG</w:t>
            </w:r>
          </w:p>
        </w:tc>
        <w:tc>
          <w:tcPr>
            <w:tcW w:w="13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Recursos Humanos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Tecnológicos</w:t>
            </w:r>
          </w:p>
        </w:tc>
      </w:tr>
      <w:tr w:rsidR="009D6551" w:rsidTr="00F4082F">
        <w:trPr>
          <w:trHeight w:val="21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Pr="00443D58" w:rsidRDefault="009D6551" w:rsidP="005F769E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443D5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Solicitar reunión con los </w:t>
            </w:r>
            <w:r w:rsidR="005F769E" w:rsidRPr="00443D5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asesores o enlaces </w:t>
            </w:r>
            <w:r w:rsidRPr="00443D5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de la Dirección General de </w:t>
            </w:r>
            <w:r w:rsidR="005F769E" w:rsidRPr="00443D5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Probidad y </w:t>
            </w:r>
            <w:r w:rsidRPr="00443D58">
              <w:rPr>
                <w:rFonts w:ascii="Latha" w:eastAsia="Latha" w:hAnsi="Latha" w:cs="Latha"/>
                <w:color w:val="000000"/>
                <w:sz w:val="18"/>
                <w:szCs w:val="18"/>
              </w:rPr>
              <w:t>Ética del TSC</w:t>
            </w:r>
            <w:r w:rsidR="005F769E" w:rsidRPr="00443D58">
              <w:rPr>
                <w:rFonts w:ascii="Latha" w:eastAsia="Latha" w:hAnsi="Latha" w:cs="Latha"/>
                <w:color w:val="000000"/>
                <w:sz w:val="18"/>
                <w:szCs w:val="18"/>
              </w:rPr>
              <w:t>.</w:t>
            </w:r>
            <w:r w:rsidRPr="00443D5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255FC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58" w:rsidRPr="00443D58" w:rsidRDefault="009D6551" w:rsidP="00443D58">
            <w:pPr>
              <w:pStyle w:val="Prrafodelista"/>
              <w:numPr>
                <w:ilvl w:val="0"/>
                <w:numId w:val="11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Asesoramiento </w:t>
            </w:r>
            <w:r w:rsidR="00D152D4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y capacitación sobre el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tema de las denuncias</w:t>
            </w:r>
            <w:r w:rsidR="00443D5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y desarrollo de las actividades descritas en el Plan</w:t>
            </w:r>
          </w:p>
          <w:p w:rsidR="009D6551" w:rsidRPr="00883506" w:rsidRDefault="009D6551" w:rsidP="00D152D4">
            <w:pPr>
              <w:pStyle w:val="Prrafodelista"/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D152D4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Marzo 2023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D152D4" w:rsidP="00F80F60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Miembros de la Dirección del Probidad y Ética del TSC, capacitando a los miembros del </w:t>
            </w:r>
            <w:r w:rsidR="00F80F60">
              <w:rPr>
                <w:rFonts w:ascii="Latha" w:eastAsia="Latha" w:hAnsi="Latha" w:cs="Latha"/>
                <w:color w:val="000000"/>
                <w:sz w:val="18"/>
                <w:szCs w:val="18"/>
              </w:rPr>
              <w:t>C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omité de </w:t>
            </w:r>
            <w:r w:rsidR="00F80F60">
              <w:rPr>
                <w:rFonts w:ascii="Latha" w:eastAsia="Latha" w:hAnsi="Latha" w:cs="Latha"/>
                <w:color w:val="000000"/>
                <w:sz w:val="18"/>
                <w:szCs w:val="18"/>
              </w:rPr>
              <w:t>P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robidad y </w:t>
            </w:r>
            <w:r w:rsidR="00F80F60">
              <w:rPr>
                <w:rFonts w:ascii="Latha" w:eastAsia="Latha" w:hAnsi="Latha" w:cs="Latha"/>
                <w:color w:val="000000"/>
                <w:sz w:val="18"/>
                <w:szCs w:val="18"/>
              </w:rPr>
              <w:t>É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tica de la Secretaría de Educación en el tema de las denuncias</w:t>
            </w:r>
            <w:r w:rsidR="009255FC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y otros temas.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D152D4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Miembros del Comité capacitados en el tema de la Denuncia</w:t>
            </w:r>
            <w:r w:rsidR="009255FC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y otros.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Pr="00750265" w:rsidRDefault="00B32535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Comité de Probidad y Ética de los Funcionarios Públicos de la SE</w:t>
            </w:r>
            <w:r w:rsidR="00443D5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y Asesores del TSC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35" w:rsidRDefault="00B32535" w:rsidP="00B32535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Recursos Humanos</w:t>
            </w:r>
          </w:p>
          <w:p w:rsidR="009D6551" w:rsidRPr="00750265" w:rsidRDefault="00B32535" w:rsidP="00B32535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Tecnológicos</w:t>
            </w:r>
          </w:p>
        </w:tc>
      </w:tr>
      <w:tr w:rsidR="009D6551" w:rsidTr="00F408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>Gestionar ante el Comité Adjunto el espacio físico, Equipo de Ofici</w:t>
            </w:r>
            <w:r w:rsidR="00995885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na,  logística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para desarrollar las difere</w:t>
            </w:r>
            <w:r w:rsidR="00995885">
              <w:rPr>
                <w:rFonts w:ascii="Latha" w:eastAsia="Latha" w:hAnsi="Latha" w:cs="Latha"/>
                <w:color w:val="000000"/>
                <w:sz w:val="18"/>
                <w:szCs w:val="18"/>
              </w:rPr>
              <w:t>ntes actividades de este Comité conforme al Plan de Trabajo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Lograr el 100% de lo  gestionado.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Pr="00B111FC" w:rsidRDefault="009D6551" w:rsidP="009D6551">
            <w:pPr>
              <w:pStyle w:val="Prrafodelista"/>
              <w:numPr>
                <w:ilvl w:val="0"/>
                <w:numId w:val="9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Elaboración y envío de </w:t>
            </w:r>
            <w:r w:rsidRPr="00B111FC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oficios a los responsables de cada dependencia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con el objetivo de gestionar los  </w:t>
            </w:r>
            <w:r w:rsidRPr="00B111FC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recursos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para el funcionamiento de las actividades programadas conforme a este plan de trabajo.</w:t>
            </w:r>
          </w:p>
          <w:p w:rsidR="009D6551" w:rsidRPr="00043E7C" w:rsidRDefault="00043E7C" w:rsidP="00704880">
            <w:pPr>
              <w:pStyle w:val="Prrafodelista"/>
              <w:numPr>
                <w:ilvl w:val="0"/>
                <w:numId w:val="2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Gestionar </w:t>
            </w:r>
            <w:r w:rsidR="009D6551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la logística que se requiere para el desarrollo de las actividades ,ante </w:t>
            </w:r>
            <w:r w:rsidR="009D6551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la Dirección General Administrativa </w:t>
            </w: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y Financiera para la asignación</w:t>
            </w:r>
            <w:r w:rsidR="009D6551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de los recursos necesarios</w:t>
            </w: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que este comité </w:t>
            </w:r>
            <w:r w:rsidR="009D6551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requiere</w:t>
            </w:r>
            <w:r w:rsidR="009D6551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.</w:t>
            </w:r>
            <w:r w:rsidR="00135E37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(</w:t>
            </w: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En vista que </w:t>
            </w:r>
            <w:r w:rsidR="00135E37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No contamos con </w:t>
            </w:r>
            <w:r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la logística básica como ser: </w:t>
            </w:r>
            <w:r w:rsidR="00135E37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material de oficina</w:t>
            </w:r>
            <w:r w:rsidR="0045064C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para emitir oficios</w:t>
            </w:r>
            <w:r w:rsidR="00135E37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, tampoco con</w:t>
            </w:r>
            <w:r w:rsidR="00704880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un</w:t>
            </w:r>
            <w:r w:rsidR="00135E37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espacio físico</w:t>
            </w:r>
            <w:r w:rsidR="0045064C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donde </w:t>
            </w:r>
            <w:r w:rsidR="00135E37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realizar nuestras reuniones</w:t>
            </w:r>
            <w:r w:rsidR="00704880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, </w:t>
            </w:r>
            <w:r w:rsidR="00704880" w:rsidRPr="0070488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para </w:t>
            </w:r>
            <w:r w:rsidR="00704880" w:rsidRPr="00704880"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>de</w:t>
            </w:r>
            <w:r w:rsidR="0070488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sarrollar las capacitaciones es necesario contar con los </w:t>
            </w:r>
            <w:r w:rsidR="00704880" w:rsidRPr="0070488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insumos para efectuarlas de una forma  profesional</w:t>
            </w:r>
            <w:r w:rsidR="0070488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="00704880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 </w:t>
            </w:r>
            <w:r w:rsidR="009D6551" w:rsidRPr="007F51F7">
              <w:rPr>
                <w:rFonts w:ascii="Latha" w:eastAsia="Latha" w:hAnsi="Latha" w:cs="Latha"/>
                <w:color w:val="000000"/>
                <w:sz w:val="18"/>
                <w:szCs w:val="18"/>
              </w:rPr>
              <w:t>Identificar</w:t>
            </w:r>
            <w:r w:rsidR="009D6551" w:rsidRPr="00043E7C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las necesidades básicas para desarrollar el presente plan.</w:t>
            </w:r>
          </w:p>
          <w:p w:rsidR="009D6551" w:rsidRPr="00B111FC" w:rsidRDefault="009D6551" w:rsidP="009D6551">
            <w:pPr>
              <w:numPr>
                <w:ilvl w:val="0"/>
                <w:numId w:val="2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B111FC">
              <w:rPr>
                <w:rFonts w:ascii="Latha" w:eastAsia="Latha" w:hAnsi="Latha" w:cs="Latha"/>
                <w:color w:val="000000"/>
                <w:sz w:val="18"/>
                <w:szCs w:val="18"/>
              </w:rPr>
              <w:t>El secretario será el responsable de ingresar a la plataforma del comité de ética de la secretaría de Educación las actas, denuncias, actas de investigación, r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emitir toda documentación al TSC</w:t>
            </w:r>
            <w:r w:rsidRPr="00B111FC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, responsable de convocar a las reuniones </w:t>
            </w:r>
          </w:p>
          <w:p w:rsidR="00704880" w:rsidRDefault="009D6551" w:rsidP="009D6551">
            <w:pPr>
              <w:numPr>
                <w:ilvl w:val="0"/>
                <w:numId w:val="2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704880">
              <w:rPr>
                <w:rFonts w:ascii="Latha" w:eastAsia="Latha" w:hAnsi="Latha" w:cs="Latha"/>
                <w:color w:val="000000"/>
                <w:sz w:val="18"/>
                <w:szCs w:val="18"/>
              </w:rPr>
              <w:t>Gestionar el carnet como miembros del comité de ética</w:t>
            </w:r>
            <w:r w:rsidR="00704880" w:rsidRPr="0070488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ante LA Dirección de Probidad y Ética del Tribunal Superior de Cuentas (TSC)</w:t>
            </w:r>
            <w:r w:rsidRPr="0070488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</w:p>
          <w:p w:rsidR="002E5EF5" w:rsidRDefault="002E5EF5" w:rsidP="009D6551">
            <w:pPr>
              <w:numPr>
                <w:ilvl w:val="0"/>
                <w:numId w:val="2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2E5EF5"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>El comité adjunto coordinara con el TSC,  el tema de las denuncias SE/CCG</w:t>
            </w:r>
            <w:r w:rsidR="009D6551" w:rsidRPr="002E5EF5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</w:p>
          <w:p w:rsidR="009D6551" w:rsidRDefault="002E5EF5" w:rsidP="002E5EF5">
            <w:pPr>
              <w:numPr>
                <w:ilvl w:val="0"/>
                <w:numId w:val="2"/>
              </w:num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Coordinar con la Dirección y Subdirección de Talento Humano Administrativo </w:t>
            </w:r>
            <w:r w:rsidR="009D6551" w:rsidRPr="002E5EF5">
              <w:rPr>
                <w:rFonts w:ascii="Latha" w:eastAsia="Latha" w:hAnsi="Latha" w:cs="Latha"/>
                <w:color w:val="000000"/>
                <w:sz w:val="18"/>
                <w:szCs w:val="18"/>
              </w:rPr>
              <w:t>la participación de los servidores públicos en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las</w:t>
            </w:r>
            <w:r w:rsidR="009D6551" w:rsidRPr="002E5EF5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actividades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="009D6551" w:rsidRPr="002E5EF5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sobre el cumplimiento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de las Normas de Conducta Ética del Servidor Publico</w:t>
            </w:r>
            <w:r w:rsidR="009D6551" w:rsidRPr="002E5EF5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>Informes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Oficios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Junio y 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Julio 2023</w:t>
            </w:r>
          </w:p>
          <w:p w:rsidR="009D6551" w:rsidRPr="00FC1CC7" w:rsidRDefault="009D6551" w:rsidP="009D6551">
            <w:pPr>
              <w:rPr>
                <w:rFonts w:ascii="Latha" w:eastAsia="Latha" w:hAnsi="Latha" w:cs="Latha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sz w:val="18"/>
                <w:szCs w:val="18"/>
              </w:rPr>
            </w:pPr>
          </w:p>
          <w:p w:rsidR="009D6551" w:rsidRPr="00FC1CC7" w:rsidRDefault="009D6551" w:rsidP="009D6551">
            <w:pPr>
              <w:rPr>
                <w:rFonts w:ascii="Latha" w:eastAsia="Latha" w:hAnsi="Latha" w:cs="Latha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Instalación y Funcionalidad del Comité de Ética  de la SE.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bookmarkStart w:id="1" w:name="_heading=h.atajw1u6mde8" w:colFirst="0" w:colLast="0"/>
            <w:bookmarkEnd w:id="1"/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bookmarkStart w:id="2" w:name="_heading=h.l5d4w5vrwaow" w:colFirst="0" w:colLast="0"/>
            <w:bookmarkEnd w:id="2"/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Incorporación Del Comité de Ética  al COCOIN de la SE.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bookmarkStart w:id="3" w:name="_heading=h.xp4vac9yg23l" w:colFirst="0" w:colLast="0"/>
            <w:bookmarkEnd w:id="3"/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bookmarkStart w:id="4" w:name="_heading=h.j9metas0xczq" w:colFirst="0" w:colLast="0"/>
            <w:bookmarkEnd w:id="4"/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Participación del Comité de Ética en los procesos de planificación.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Asignación del Espacio Físico.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Obtener los controles de la gestión del Comité.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Posicionamiento de la estructura presupuestaria del Comité en el plan Operativo de la SE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Comité de Ética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COCOIN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Directores y Jefes de Unidad de la SE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R. Humanos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R. Financieros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R. Materiales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Económico 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Disponibilidad de Tiempo.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</w:tr>
      <w:tr w:rsidR="009D6551" w:rsidTr="00F4082F">
        <w:trPr>
          <w:trHeight w:val="164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3757D6" w:rsidP="003757D6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>Solicitar a las máximas autoridades del TSC y SE</w:t>
            </w:r>
            <w:r w:rsidR="00F12694">
              <w:rPr>
                <w:rFonts w:ascii="Latha" w:eastAsia="Latha" w:hAnsi="Latha" w:cs="Latha"/>
                <w:color w:val="000000"/>
                <w:sz w:val="18"/>
                <w:szCs w:val="18"/>
              </w:rPr>
              <w:t>,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="00F12694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través de la Secretarí</w:t>
            </w:r>
            <w:r w:rsidR="009D6551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a General </w:t>
            </w:r>
            <w:r w:rsidR="00F12694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para que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se defina</w:t>
            </w:r>
            <w:r w:rsidR="009D6551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la recepción de </w:t>
            </w:r>
            <w:r w:rsidR="009255FC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las </w:t>
            </w:r>
            <w:r w:rsidR="009D6551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Denuncias, ya </w:t>
            </w:r>
            <w:r w:rsidR="009255FC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que existe una dependencia específicamente para la recepción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de las mismas; en vista que este comité atiende todo tipo de denuncia</w:t>
            </w:r>
            <w:r w:rsidR="00F12694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 </w:t>
            </w:r>
            <w:r w:rsidR="00F12694"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>de parte de los funcionarios de esta Secretaría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>Resolver tal situación en un 70% en el año 2023.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Establecer  un canal de información y asesoramiento entre la SE y </w:t>
            </w:r>
            <w:r w:rsidR="007E0C54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el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TSC.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3757D6" w:rsidP="003757D6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II Trimestre  2023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bookmarkStart w:id="5" w:name="_heading=h.2orf9joikpot" w:colFirst="0" w:colLast="0"/>
            <w:bookmarkEnd w:id="5"/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Acceso </w:t>
            </w:r>
            <w:r w:rsidR="00E74687">
              <w:rPr>
                <w:rFonts w:ascii="Latha" w:eastAsia="Latha" w:hAnsi="Latha" w:cs="Latha"/>
                <w:color w:val="000000"/>
                <w:sz w:val="18"/>
                <w:szCs w:val="18"/>
              </w:rPr>
              <w:t>y participación de las diferentes Dependencias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involucradas en la referida situación.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bookmarkStart w:id="6" w:name="_heading=h.nhi4v3k5dfud" w:colFirst="0" w:colLast="0"/>
            <w:bookmarkEnd w:id="6"/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Definición de la recepción de denuncias en la SE.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Comité de Ética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COCOIN</w:t>
            </w:r>
          </w:p>
          <w:p w:rsidR="009D6551" w:rsidRDefault="007773B6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Directores, Subdirectores </w:t>
            </w:r>
            <w:r w:rsidR="009D6551">
              <w:rPr>
                <w:rFonts w:ascii="Latha" w:eastAsia="Latha" w:hAnsi="Latha" w:cs="Latha"/>
                <w:color w:val="000000"/>
                <w:sz w:val="18"/>
                <w:szCs w:val="18"/>
              </w:rPr>
              <w:t>y Jefes de Unidad de la SE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Pr="00AA1C67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Re</w:t>
            </w:r>
            <w:r w:rsidRPr="00AA1C67">
              <w:rPr>
                <w:rFonts w:ascii="Latha" w:eastAsia="Latha" w:hAnsi="Latha" w:cs="Latha"/>
                <w:color w:val="000000"/>
                <w:sz w:val="18"/>
                <w:szCs w:val="18"/>
              </w:rPr>
              <w:t>cursos</w:t>
            </w:r>
            <w:r w:rsidR="00EE46FD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logísticos,</w:t>
            </w:r>
            <w:r w:rsidRPr="00AA1C6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Informático</w:t>
            </w:r>
          </w:p>
          <w:p w:rsidR="009D6551" w:rsidRPr="00AA1C67" w:rsidRDefault="007773B6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Y </w:t>
            </w:r>
            <w:r w:rsidR="009D6551" w:rsidRPr="00AA1C67">
              <w:rPr>
                <w:rFonts w:ascii="Latha" w:eastAsia="Latha" w:hAnsi="Latha" w:cs="Latha"/>
                <w:color w:val="000000"/>
                <w:sz w:val="18"/>
                <w:szCs w:val="18"/>
              </w:rPr>
              <w:t>Tecnológico (</w:t>
            </w:r>
            <w:r w:rsidR="00EE46FD">
              <w:rPr>
                <w:rFonts w:ascii="Latha" w:eastAsia="Latha" w:hAnsi="Latha" w:cs="Latha"/>
                <w:color w:val="000000"/>
                <w:sz w:val="18"/>
                <w:szCs w:val="18"/>
              </w:rPr>
              <w:t>Retroalimentación de la Plataforma</w:t>
            </w:r>
            <w:r w:rsidR="009D6551" w:rsidRPr="00AA1C6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</w:tr>
      <w:tr w:rsidR="009D6551" w:rsidTr="00F408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3757D6" w:rsidP="006D3AB7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 xml:space="preserve">Participación de los miembros del </w:t>
            </w:r>
            <w:r w:rsidR="009D6551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Comité </w:t>
            </w:r>
            <w:r w:rsidR="006D3AB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de Probidad y </w:t>
            </w:r>
            <w:r w:rsidR="009D6551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Ética</w:t>
            </w:r>
            <w:r w:rsidR="006D3AB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de la SE/CCG en las diferentes comisiones </w:t>
            </w:r>
            <w:r w:rsidR="00C865A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y subcomisiones </w:t>
            </w:r>
            <w:r w:rsidR="006D3AB7">
              <w:rPr>
                <w:rFonts w:ascii="Latha" w:eastAsia="Latha" w:hAnsi="Latha" w:cs="Latha"/>
                <w:color w:val="000000"/>
                <w:sz w:val="18"/>
                <w:szCs w:val="18"/>
              </w:rPr>
              <w:t>como veedores de los diferentes procesos sin voz y voto.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El 100% de sus integrantes del Comité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AF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Representación del Comité en las  Capacitaciones  de los t</w:t>
            </w:r>
            <w:r w:rsidR="00C865AF">
              <w:rPr>
                <w:rFonts w:ascii="Latha" w:eastAsia="Latha" w:hAnsi="Latha" w:cs="Latha"/>
                <w:color w:val="000000"/>
                <w:sz w:val="18"/>
                <w:szCs w:val="18"/>
              </w:rPr>
              <w:t>alleres de rendición de C</w:t>
            </w:r>
            <w:r w:rsidR="00DC75B8">
              <w:rPr>
                <w:rFonts w:ascii="Latha" w:eastAsia="Latha" w:hAnsi="Latha" w:cs="Latha"/>
                <w:color w:val="000000"/>
                <w:sz w:val="18"/>
                <w:szCs w:val="18"/>
              </w:rPr>
              <w:t>uentas que se imparten en la SE/CCG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bookmarkStart w:id="7" w:name="_heading=h.iecxucguo2ni" w:colFirst="0" w:colLast="0"/>
            <w:bookmarkEnd w:id="7"/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216D76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Todo el año</w:t>
            </w:r>
          </w:p>
          <w:p w:rsidR="009D6551" w:rsidRDefault="00216D76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070671" w:rsidP="0007067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Delegación de representación de los miembros del </w:t>
            </w:r>
            <w:r w:rsidR="00DC75B8">
              <w:rPr>
                <w:rFonts w:ascii="Latha" w:eastAsia="Latha" w:hAnsi="Latha" w:cs="Latha"/>
                <w:color w:val="000000"/>
                <w:sz w:val="18"/>
                <w:szCs w:val="18"/>
              </w:rPr>
              <w:t>Comité de Ética de la SE/CCG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Aprovechamiento</w:t>
            </w:r>
            <w:r w:rsidR="005A1534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de la veeduría social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de capacidades Intelectuales y Profesionales de cada integrante del Comité de Ética SE.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Miembros del Comité de Ética SE</w:t>
            </w:r>
            <w:r w:rsidR="00DC75B8">
              <w:rPr>
                <w:rFonts w:ascii="Latha" w:eastAsia="Latha" w:hAnsi="Latha" w:cs="Latha"/>
                <w:color w:val="000000"/>
                <w:sz w:val="18"/>
                <w:szCs w:val="18"/>
              </w:rPr>
              <w:t>/CCG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Pr="00EC5D15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EC5D15">
              <w:rPr>
                <w:rFonts w:ascii="Latha" w:eastAsia="Latha" w:hAnsi="Latha" w:cs="Latha"/>
                <w:color w:val="000000"/>
                <w:sz w:val="18"/>
                <w:szCs w:val="18"/>
              </w:rPr>
              <w:t>Humano</w:t>
            </w:r>
            <w:r w:rsidR="00DC75B8">
              <w:rPr>
                <w:rFonts w:ascii="Latha" w:eastAsia="Latha" w:hAnsi="Latha" w:cs="Latha"/>
                <w:color w:val="000000"/>
                <w:sz w:val="18"/>
                <w:szCs w:val="18"/>
              </w:rPr>
              <w:t>, logística e</w:t>
            </w:r>
          </w:p>
          <w:p w:rsidR="009D6551" w:rsidRPr="00EC5D15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EC5D15">
              <w:rPr>
                <w:rFonts w:ascii="Latha" w:eastAsia="Latha" w:hAnsi="Latha" w:cs="Latha"/>
                <w:color w:val="000000"/>
                <w:sz w:val="18"/>
                <w:szCs w:val="18"/>
              </w:rPr>
              <w:t>Informático</w:t>
            </w:r>
            <w:r w:rsidR="00DC75B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y</w:t>
            </w:r>
          </w:p>
          <w:p w:rsidR="009D6551" w:rsidRPr="00EC5D15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EC5D15">
              <w:rPr>
                <w:rFonts w:ascii="Latha" w:eastAsia="Latha" w:hAnsi="Latha" w:cs="Latha"/>
                <w:color w:val="000000"/>
                <w:sz w:val="18"/>
                <w:szCs w:val="18"/>
              </w:rPr>
              <w:t>Redes sociales</w:t>
            </w:r>
          </w:p>
          <w:p w:rsidR="009D6551" w:rsidRPr="00EC5D15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</w:tr>
      <w:tr w:rsidR="009D6551" w:rsidTr="00F4082F">
        <w:trPr>
          <w:trHeight w:val="164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2379CC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El comité consulta </w:t>
            </w:r>
            <w:r w:rsidR="009D6551">
              <w:rPr>
                <w:rFonts w:ascii="Latha" w:eastAsia="Latha" w:hAnsi="Latha" w:cs="Latha"/>
                <w:color w:val="000000"/>
                <w:sz w:val="18"/>
                <w:szCs w:val="18"/>
              </w:rPr>
              <w:t>constantem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ente, al asesor del</w:t>
            </w:r>
            <w:r w:rsidR="009D6551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Tribunal Superior de Cuentas (TSC), con el objetivo de realizar correctamente el cumplimie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nto óptimo de las funciones que este </w:t>
            </w:r>
            <w:r w:rsidR="009D6551">
              <w:rPr>
                <w:rFonts w:ascii="Latha" w:eastAsia="Latha" w:hAnsi="Latha" w:cs="Latha"/>
                <w:color w:val="000000"/>
                <w:sz w:val="18"/>
                <w:szCs w:val="18"/>
              </w:rPr>
              <w:t>Comité de Prob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idad Ética del Servidor Público realiza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bookmarkStart w:id="8" w:name="_heading=h.al8kjm22zrl0" w:colFirst="0" w:colLast="0"/>
            <w:bookmarkEnd w:id="8"/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Consultar en algunas actividades a realizar cuando no se tiene claridad de la misma.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C865AF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Todo el año de  2023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bookmarkStart w:id="9" w:name="_heading=h.gjdgxs" w:colFirst="0" w:colLast="0"/>
            <w:bookmarkEnd w:id="9"/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Documentadas cada una de las actividades, conforme  el acta de compromiso y fidelidad del funcionario público.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Desarrolladas las actividades de manera óptima en cumplimiento al código de probidad y ética del serviciador público.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Pr="005315E8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5315E8">
              <w:rPr>
                <w:rFonts w:ascii="Latha" w:eastAsia="Latha" w:hAnsi="Latha" w:cs="Latha"/>
                <w:color w:val="000000"/>
                <w:sz w:val="18"/>
                <w:szCs w:val="18"/>
              </w:rPr>
              <w:t>Miembros del</w:t>
            </w:r>
          </w:p>
          <w:p w:rsidR="009D6551" w:rsidRPr="005315E8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5315E8">
              <w:rPr>
                <w:rFonts w:ascii="Latha" w:eastAsia="Latha" w:hAnsi="Latha" w:cs="Latha"/>
                <w:color w:val="000000"/>
                <w:sz w:val="18"/>
                <w:szCs w:val="18"/>
              </w:rPr>
              <w:t>Comité de</w:t>
            </w:r>
          </w:p>
          <w:p w:rsidR="009D6551" w:rsidRPr="005315E8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5315E8">
              <w:rPr>
                <w:rFonts w:ascii="Latha" w:eastAsia="Latha" w:hAnsi="Latha" w:cs="Latha"/>
                <w:color w:val="000000"/>
                <w:sz w:val="18"/>
                <w:szCs w:val="18"/>
              </w:rPr>
              <w:t>Ética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y miembros  </w:t>
            </w:r>
            <w:r w:rsidRPr="005315E8">
              <w:rPr>
                <w:rFonts w:ascii="Latha" w:eastAsia="Latha" w:hAnsi="Latha" w:cs="Latha"/>
                <w:color w:val="000000"/>
                <w:sz w:val="18"/>
                <w:szCs w:val="18"/>
              </w:rPr>
              <w:t>del</w:t>
            </w:r>
          </w:p>
          <w:p w:rsidR="009D6551" w:rsidRPr="005315E8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5315E8">
              <w:rPr>
                <w:rFonts w:ascii="Latha" w:eastAsia="Latha" w:hAnsi="Latha" w:cs="Latha"/>
                <w:color w:val="000000"/>
                <w:sz w:val="18"/>
                <w:szCs w:val="18"/>
              </w:rPr>
              <w:t>TSC./SE</w:t>
            </w:r>
            <w:r w:rsidR="00CB24EE">
              <w:rPr>
                <w:rFonts w:ascii="Latha" w:eastAsia="Latha" w:hAnsi="Latha" w:cs="Latha"/>
                <w:color w:val="000000"/>
                <w:sz w:val="18"/>
                <w:szCs w:val="18"/>
              </w:rPr>
              <w:t>/CCG</w:t>
            </w:r>
          </w:p>
          <w:p w:rsidR="009D6551" w:rsidRPr="005315E8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Recuso Humano</w:t>
            </w:r>
          </w:p>
          <w:p w:rsidR="00C865AF" w:rsidRDefault="00C865AF" w:rsidP="009D655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Tecnológico </w:t>
            </w:r>
          </w:p>
        </w:tc>
      </w:tr>
      <w:tr w:rsidR="00C865AF" w:rsidTr="00F408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C865AF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lastRenderedPageBreak/>
              <w:t>Elaboración de oficio</w:t>
            </w:r>
            <w:r w:rsidR="00C865A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 de solicitud sobre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apoyo </w:t>
            </w:r>
            <w:r w:rsidR="00C865A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logístico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o para ejecutar las actividades descritas en </w:t>
            </w:r>
            <w:r w:rsidR="006F531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el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plan de comité de probidad  ética de la SE</w:t>
            </w:r>
            <w:r w:rsidR="00C865AF">
              <w:rPr>
                <w:rFonts w:ascii="Latha" w:eastAsia="Latha" w:hAnsi="Latha" w:cs="Latha"/>
                <w:color w:val="000000"/>
                <w:sz w:val="18"/>
                <w:szCs w:val="18"/>
              </w:rPr>
              <w:t>/CCG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C865AF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Seguimiento y monitoreo </w:t>
            </w:r>
            <w:r w:rsidR="006F5317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a los oficios de emitidos  por el </w:t>
            </w:r>
            <w:r w:rsidR="00C865AF">
              <w:rPr>
                <w:rFonts w:ascii="Latha" w:eastAsia="Latha" w:hAnsi="Latha" w:cs="Latha"/>
                <w:color w:val="000000"/>
                <w:sz w:val="18"/>
                <w:szCs w:val="18"/>
              </w:rPr>
              <w:t>Co</w:t>
            </w:r>
            <w:r w:rsidR="006F5317">
              <w:rPr>
                <w:rFonts w:ascii="Latha" w:eastAsia="Latha" w:hAnsi="Latha" w:cs="Latha"/>
                <w:color w:val="000000"/>
                <w:sz w:val="18"/>
                <w:szCs w:val="18"/>
              </w:rPr>
              <w:t>mité de Probidad y Ética SE/CCG; a nivel externo e interno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C865AF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Todo el año 2023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C865AF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Con </w:t>
            </w:r>
            <w:r w:rsidR="00C865A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el apoyo logístico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="00CF7445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se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desarrollaran las actividades descritas en el plan de trabajo</w:t>
            </w:r>
            <w:r w:rsidR="00C865AF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del Comité de Probidad y Ética SE/CCG.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Default="009D6551" w:rsidP="00FC5E4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Desarrolladas las actividades según lo planific</w:t>
            </w:r>
            <w:r w:rsidR="00FC5E41">
              <w:rPr>
                <w:rFonts w:ascii="Latha" w:eastAsia="Latha" w:hAnsi="Latha" w:cs="Latha"/>
                <w:color w:val="000000"/>
                <w:sz w:val="18"/>
                <w:szCs w:val="18"/>
              </w:rPr>
              <w:t>ado en el plan de trabajo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Pr="005315E8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Miembros de los</w:t>
            </w:r>
          </w:p>
          <w:p w:rsidR="009D6551" w:rsidRPr="005315E8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5315E8">
              <w:rPr>
                <w:rFonts w:ascii="Latha" w:eastAsia="Latha" w:hAnsi="Latha" w:cs="Latha"/>
                <w:color w:val="000000"/>
                <w:sz w:val="18"/>
                <w:szCs w:val="18"/>
              </w:rPr>
              <w:t>Comité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s</w:t>
            </w:r>
            <w:r w:rsidRPr="005315E8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de</w:t>
            </w:r>
          </w:p>
          <w:p w:rsidR="009D6551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 w:rsidRPr="005315E8">
              <w:rPr>
                <w:rFonts w:ascii="Latha" w:eastAsia="Latha" w:hAnsi="Latha" w:cs="Latha"/>
                <w:color w:val="000000"/>
                <w:sz w:val="18"/>
                <w:szCs w:val="18"/>
              </w:rPr>
              <w:t>Ética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y Comité Adjunto de la SE y asesores del TSC.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551" w:rsidRPr="005315E8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Equipo de oficina, Recursos Humano, </w:t>
            </w:r>
          </w:p>
          <w:p w:rsidR="009D6551" w:rsidRPr="005315E8" w:rsidRDefault="009D6551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Recursos </w:t>
            </w:r>
            <w:r w:rsidRPr="005315E8">
              <w:rPr>
                <w:rFonts w:ascii="Latha" w:eastAsia="Latha" w:hAnsi="Latha" w:cs="Latha"/>
                <w:color w:val="000000"/>
                <w:sz w:val="18"/>
                <w:szCs w:val="18"/>
              </w:rPr>
              <w:t>Económicos</w:t>
            </w:r>
          </w:p>
        </w:tc>
      </w:tr>
      <w:tr w:rsidR="005C2989" w:rsidRPr="00957444" w:rsidTr="00F4082F">
        <w:trPr>
          <w:trHeight w:val="164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89" w:rsidRPr="00037946" w:rsidRDefault="005C2989" w:rsidP="009F75E0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Enviar informes trimestrales al TSC</w:t>
            </w:r>
            <w:r w:rsidR="00A359C9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y al CCOCOIN de la SE</w:t>
            </w:r>
            <w:r w:rsidR="009F75E0">
              <w:rPr>
                <w:rFonts w:ascii="Latha" w:eastAsia="Latha" w:hAnsi="Latha" w:cs="Latha"/>
                <w:color w:val="000000"/>
                <w:sz w:val="18"/>
                <w:szCs w:val="18"/>
              </w:rPr>
              <w:t>, de las actividades desarrolladas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</w:t>
            </w:r>
            <w:r w:rsidR="009F75E0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según el 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plan de trabajo.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89" w:rsidRDefault="005C2989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89" w:rsidRDefault="005C2989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Enviar al TSC</w:t>
            </w:r>
            <w:r w:rsidR="00A359C9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y COCOCIN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 los reportes de lo ejecutado en el plan de trabajo.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89" w:rsidRDefault="005C2989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Trimestral </w:t>
            </w:r>
            <w:r w:rsidR="00A359C9">
              <w:rPr>
                <w:rFonts w:ascii="Latha" w:eastAsia="Latha" w:hAnsi="Latha" w:cs="Latha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89" w:rsidRDefault="00D6501C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Medición de las </w:t>
            </w:r>
            <w:r w:rsidR="005C2989"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actividades programadas y ejecutadas en el plan de trabajo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89" w:rsidRDefault="005C2989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Evaluación por parte del TSC y Comité Adjunto de la SE</w:t>
            </w:r>
            <w:r w:rsidR="00D6501C">
              <w:rPr>
                <w:rFonts w:ascii="Latha" w:eastAsia="Latha" w:hAnsi="Latha" w:cs="Latha"/>
                <w:color w:val="000000"/>
                <w:sz w:val="18"/>
                <w:szCs w:val="18"/>
              </w:rPr>
              <w:t>/CCG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89" w:rsidRDefault="00D6501C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Miembros del Comité de Ética SE/CCG</w:t>
            </w:r>
          </w:p>
          <w:p w:rsidR="005C2989" w:rsidRDefault="005C2989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89" w:rsidRDefault="005C2989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Recurso Humano, Equipo tecnológico</w:t>
            </w:r>
          </w:p>
          <w:p w:rsidR="005C2989" w:rsidRDefault="005C2989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Evidencias </w:t>
            </w:r>
          </w:p>
        </w:tc>
      </w:tr>
      <w:tr w:rsidR="00FF209C" w:rsidRPr="00957444" w:rsidTr="00FF2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09C" w:rsidRDefault="00687FF5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Socializar el compromiso como funcionarios públicos  en apoyo a la lucha contra la corrupción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09C" w:rsidRDefault="00687FF5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09C" w:rsidRDefault="00687FF5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Conmemoración al día internacional de lucha contra la corrupción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09C" w:rsidRDefault="00687FF5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09 de diciembre 2023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09C" w:rsidRDefault="00687FF5" w:rsidP="00687FF5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Socializar los procesos que se deben asentar en la práctica ante los funcion</w:t>
            </w:r>
            <w:r w:rsidR="00D6501C">
              <w:rPr>
                <w:rFonts w:ascii="Latha" w:eastAsia="Latha" w:hAnsi="Latha" w:cs="Latha"/>
                <w:color w:val="000000"/>
                <w:sz w:val="18"/>
                <w:szCs w:val="18"/>
              </w:rPr>
              <w:t>arios públicos de esta Secretaría  de E</w:t>
            </w: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ducación con el fin de prevenir todo acto de corrupción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09C" w:rsidRDefault="00D6501C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 xml:space="preserve">Cumplir con la Socialización de la conmemoración del día de Lucha contra la corrupción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01C" w:rsidRDefault="00D6501C" w:rsidP="00D6501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Miembros del Comité de Ética SE/CCG</w:t>
            </w:r>
          </w:p>
          <w:p w:rsidR="00FF209C" w:rsidRDefault="00FF209C" w:rsidP="009D6551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01C" w:rsidRDefault="00D6501C" w:rsidP="00D6501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Recurso Humano, Equipo tecnológico</w:t>
            </w:r>
          </w:p>
          <w:p w:rsidR="00FF209C" w:rsidRDefault="00D6501C" w:rsidP="00D6501C">
            <w:pPr>
              <w:rPr>
                <w:rFonts w:ascii="Latha" w:eastAsia="Latha" w:hAnsi="Latha" w:cs="Latha"/>
                <w:color w:val="000000"/>
                <w:sz w:val="18"/>
                <w:szCs w:val="18"/>
              </w:rPr>
            </w:pPr>
            <w:r>
              <w:rPr>
                <w:rFonts w:ascii="Latha" w:eastAsia="Latha" w:hAnsi="Latha" w:cs="Latha"/>
                <w:color w:val="000000"/>
                <w:sz w:val="18"/>
                <w:szCs w:val="18"/>
              </w:rPr>
              <w:t>Evidencias</w:t>
            </w:r>
          </w:p>
        </w:tc>
      </w:tr>
    </w:tbl>
    <w:p w:rsidR="00D02789" w:rsidRPr="00957444" w:rsidRDefault="00D02789">
      <w:pPr>
        <w:spacing w:after="0"/>
        <w:rPr>
          <w:rFonts w:ascii="Latha" w:eastAsia="Latha" w:hAnsi="Latha" w:cs="Latha"/>
          <w:color w:val="000000"/>
          <w:sz w:val="18"/>
          <w:szCs w:val="18"/>
        </w:rPr>
      </w:pPr>
    </w:p>
    <w:sectPr w:rsidR="00D02789" w:rsidRPr="00957444" w:rsidSect="000E6550">
      <w:headerReference w:type="default" r:id="rId9"/>
      <w:footerReference w:type="default" r:id="rId10"/>
      <w:pgSz w:w="15840" w:h="12240" w:orient="landscape"/>
      <w:pgMar w:top="1701" w:right="1417" w:bottom="1701" w:left="1417" w:header="708" w:footer="135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808" w:rsidRDefault="00177808">
      <w:pPr>
        <w:spacing w:after="0" w:line="240" w:lineRule="auto"/>
      </w:pPr>
      <w:r>
        <w:separator/>
      </w:r>
    </w:p>
  </w:endnote>
  <w:endnote w:type="continuationSeparator" w:id="0">
    <w:p w:rsidR="00177808" w:rsidRDefault="0017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7746006"/>
      <w:docPartObj>
        <w:docPartGallery w:val="Page Numbers (Bottom of Page)"/>
        <w:docPartUnique/>
      </w:docPartObj>
    </w:sdtPr>
    <w:sdtEndPr/>
    <w:sdtContent>
      <w:p w:rsidR="00B05673" w:rsidRDefault="00B0567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693" w:rsidRPr="00850693">
          <w:rPr>
            <w:noProof/>
            <w:lang w:val="es-ES"/>
          </w:rPr>
          <w:t>8</w:t>
        </w:r>
        <w:r>
          <w:fldChar w:fldCharType="end"/>
        </w:r>
      </w:p>
    </w:sdtContent>
  </w:sdt>
  <w:p w:rsidR="00B05673" w:rsidRDefault="00B0567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808" w:rsidRDefault="00177808">
      <w:pPr>
        <w:spacing w:after="0" w:line="240" w:lineRule="auto"/>
      </w:pPr>
      <w:r>
        <w:separator/>
      </w:r>
    </w:p>
  </w:footnote>
  <w:footnote w:type="continuationSeparator" w:id="0">
    <w:p w:rsidR="00177808" w:rsidRDefault="0017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2D4" w:rsidRDefault="00D152D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316AEF83" wp14:editId="6E734AD4">
          <wp:simplePos x="0" y="0"/>
          <wp:positionH relativeFrom="column">
            <wp:posOffset>-861694</wp:posOffset>
          </wp:positionH>
          <wp:positionV relativeFrom="paragraph">
            <wp:posOffset>-421004</wp:posOffset>
          </wp:positionV>
          <wp:extent cx="9963150" cy="7677150"/>
          <wp:effectExtent l="0" t="0" r="0" b="0"/>
          <wp:wrapNone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63150" cy="76771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22985"/>
    <w:multiLevelType w:val="hybridMultilevel"/>
    <w:tmpl w:val="3D822EEC"/>
    <w:lvl w:ilvl="0" w:tplc="4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097CDA"/>
    <w:multiLevelType w:val="multilevel"/>
    <w:tmpl w:val="11566E80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abstractNum w:abstractNumId="2">
    <w:nsid w:val="405415A8"/>
    <w:multiLevelType w:val="hybridMultilevel"/>
    <w:tmpl w:val="5A6E9B34"/>
    <w:lvl w:ilvl="0" w:tplc="4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56859"/>
    <w:multiLevelType w:val="hybridMultilevel"/>
    <w:tmpl w:val="29D64DD0"/>
    <w:lvl w:ilvl="0" w:tplc="4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9951F61"/>
    <w:multiLevelType w:val="hybridMultilevel"/>
    <w:tmpl w:val="B85A0B0E"/>
    <w:lvl w:ilvl="0" w:tplc="4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184159"/>
    <w:multiLevelType w:val="hybridMultilevel"/>
    <w:tmpl w:val="F0768EB8"/>
    <w:lvl w:ilvl="0" w:tplc="4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C1198E"/>
    <w:multiLevelType w:val="multilevel"/>
    <w:tmpl w:val="3E90AE8A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nsid w:val="62BB6E7F"/>
    <w:multiLevelType w:val="multilevel"/>
    <w:tmpl w:val="A5EE0FF2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abstractNum w:abstractNumId="8">
    <w:nsid w:val="63CF4502"/>
    <w:multiLevelType w:val="hybridMultilevel"/>
    <w:tmpl w:val="53AAF274"/>
    <w:lvl w:ilvl="0" w:tplc="4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3C5F22"/>
    <w:multiLevelType w:val="hybridMultilevel"/>
    <w:tmpl w:val="09AC5C2E"/>
    <w:lvl w:ilvl="0" w:tplc="4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67644"/>
    <w:multiLevelType w:val="hybridMultilevel"/>
    <w:tmpl w:val="AD202510"/>
    <w:lvl w:ilvl="0" w:tplc="4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789"/>
    <w:rsid w:val="0001199E"/>
    <w:rsid w:val="00032BE4"/>
    <w:rsid w:val="00036574"/>
    <w:rsid w:val="00037946"/>
    <w:rsid w:val="00043E7C"/>
    <w:rsid w:val="00045A6B"/>
    <w:rsid w:val="00053862"/>
    <w:rsid w:val="0005703B"/>
    <w:rsid w:val="0006040E"/>
    <w:rsid w:val="00060957"/>
    <w:rsid w:val="00070671"/>
    <w:rsid w:val="00074E85"/>
    <w:rsid w:val="00077592"/>
    <w:rsid w:val="00082B11"/>
    <w:rsid w:val="0008772F"/>
    <w:rsid w:val="00090DF0"/>
    <w:rsid w:val="00092C22"/>
    <w:rsid w:val="000942C4"/>
    <w:rsid w:val="000C10CD"/>
    <w:rsid w:val="000E6550"/>
    <w:rsid w:val="00117768"/>
    <w:rsid w:val="00135E37"/>
    <w:rsid w:val="00155BB8"/>
    <w:rsid w:val="001627A3"/>
    <w:rsid w:val="0016584E"/>
    <w:rsid w:val="00177808"/>
    <w:rsid w:val="001804B2"/>
    <w:rsid w:val="001948D8"/>
    <w:rsid w:val="00197B3E"/>
    <w:rsid w:val="001A697D"/>
    <w:rsid w:val="001C3768"/>
    <w:rsid w:val="001D6990"/>
    <w:rsid w:val="001E7D82"/>
    <w:rsid w:val="00216D76"/>
    <w:rsid w:val="00220841"/>
    <w:rsid w:val="002379CC"/>
    <w:rsid w:val="002467A2"/>
    <w:rsid w:val="00260BFF"/>
    <w:rsid w:val="00262CEE"/>
    <w:rsid w:val="0026422C"/>
    <w:rsid w:val="00266536"/>
    <w:rsid w:val="00273ECA"/>
    <w:rsid w:val="002848C0"/>
    <w:rsid w:val="002B76EC"/>
    <w:rsid w:val="002D5A9C"/>
    <w:rsid w:val="002E5EF5"/>
    <w:rsid w:val="00306083"/>
    <w:rsid w:val="00306D1D"/>
    <w:rsid w:val="00335C6A"/>
    <w:rsid w:val="00351F84"/>
    <w:rsid w:val="0036370C"/>
    <w:rsid w:val="003744EF"/>
    <w:rsid w:val="003757D6"/>
    <w:rsid w:val="00376635"/>
    <w:rsid w:val="003D4491"/>
    <w:rsid w:val="003F0F61"/>
    <w:rsid w:val="00433A2C"/>
    <w:rsid w:val="00433CC3"/>
    <w:rsid w:val="00441A0A"/>
    <w:rsid w:val="00443D58"/>
    <w:rsid w:val="00446577"/>
    <w:rsid w:val="0045064C"/>
    <w:rsid w:val="00451533"/>
    <w:rsid w:val="0046134C"/>
    <w:rsid w:val="004623A2"/>
    <w:rsid w:val="00466606"/>
    <w:rsid w:val="00501881"/>
    <w:rsid w:val="0050697F"/>
    <w:rsid w:val="005167D2"/>
    <w:rsid w:val="005315E8"/>
    <w:rsid w:val="00533986"/>
    <w:rsid w:val="005619DA"/>
    <w:rsid w:val="00563332"/>
    <w:rsid w:val="005670CD"/>
    <w:rsid w:val="0059319F"/>
    <w:rsid w:val="005A1534"/>
    <w:rsid w:val="005C2989"/>
    <w:rsid w:val="005F769E"/>
    <w:rsid w:val="006033C5"/>
    <w:rsid w:val="00607CDC"/>
    <w:rsid w:val="00613B2A"/>
    <w:rsid w:val="00617CBA"/>
    <w:rsid w:val="00627D00"/>
    <w:rsid w:val="006403E8"/>
    <w:rsid w:val="00666688"/>
    <w:rsid w:val="00687FF5"/>
    <w:rsid w:val="00697D1D"/>
    <w:rsid w:val="006A1A09"/>
    <w:rsid w:val="006D24E3"/>
    <w:rsid w:val="006D3AB7"/>
    <w:rsid w:val="006E6070"/>
    <w:rsid w:val="006F0FEE"/>
    <w:rsid w:val="006F5317"/>
    <w:rsid w:val="007035E6"/>
    <w:rsid w:val="00704880"/>
    <w:rsid w:val="00713F9C"/>
    <w:rsid w:val="00725F5C"/>
    <w:rsid w:val="00743175"/>
    <w:rsid w:val="00745FD9"/>
    <w:rsid w:val="00750265"/>
    <w:rsid w:val="00751DFC"/>
    <w:rsid w:val="0075290C"/>
    <w:rsid w:val="00772E6B"/>
    <w:rsid w:val="007773B6"/>
    <w:rsid w:val="007910BE"/>
    <w:rsid w:val="007A13DE"/>
    <w:rsid w:val="007A25A4"/>
    <w:rsid w:val="007B0493"/>
    <w:rsid w:val="007C4DD1"/>
    <w:rsid w:val="007D5E31"/>
    <w:rsid w:val="007E0C54"/>
    <w:rsid w:val="007E35FC"/>
    <w:rsid w:val="007E363B"/>
    <w:rsid w:val="007E55F7"/>
    <w:rsid w:val="007F51F7"/>
    <w:rsid w:val="00803272"/>
    <w:rsid w:val="008179E7"/>
    <w:rsid w:val="00850693"/>
    <w:rsid w:val="00883506"/>
    <w:rsid w:val="0088765D"/>
    <w:rsid w:val="00922383"/>
    <w:rsid w:val="00923C18"/>
    <w:rsid w:val="009255FC"/>
    <w:rsid w:val="00957444"/>
    <w:rsid w:val="00995885"/>
    <w:rsid w:val="009B41BC"/>
    <w:rsid w:val="009C0BCF"/>
    <w:rsid w:val="009C4DB1"/>
    <w:rsid w:val="009D2566"/>
    <w:rsid w:val="009D6551"/>
    <w:rsid w:val="009F75E0"/>
    <w:rsid w:val="00A07B58"/>
    <w:rsid w:val="00A359C9"/>
    <w:rsid w:val="00A4160A"/>
    <w:rsid w:val="00A5093E"/>
    <w:rsid w:val="00A53072"/>
    <w:rsid w:val="00A64EFF"/>
    <w:rsid w:val="00A6788C"/>
    <w:rsid w:val="00A70F81"/>
    <w:rsid w:val="00A73BE5"/>
    <w:rsid w:val="00A815D9"/>
    <w:rsid w:val="00A851B8"/>
    <w:rsid w:val="00A92AB0"/>
    <w:rsid w:val="00AA1C67"/>
    <w:rsid w:val="00AA4A7E"/>
    <w:rsid w:val="00AD0BF0"/>
    <w:rsid w:val="00AD3075"/>
    <w:rsid w:val="00B05673"/>
    <w:rsid w:val="00B111FC"/>
    <w:rsid w:val="00B14E4C"/>
    <w:rsid w:val="00B32535"/>
    <w:rsid w:val="00B61A99"/>
    <w:rsid w:val="00B712F6"/>
    <w:rsid w:val="00B7582F"/>
    <w:rsid w:val="00B76F46"/>
    <w:rsid w:val="00B91EE2"/>
    <w:rsid w:val="00BB3703"/>
    <w:rsid w:val="00BB7DCF"/>
    <w:rsid w:val="00BD673A"/>
    <w:rsid w:val="00BE1312"/>
    <w:rsid w:val="00BE21FF"/>
    <w:rsid w:val="00BE24E7"/>
    <w:rsid w:val="00C1327F"/>
    <w:rsid w:val="00C16345"/>
    <w:rsid w:val="00C40399"/>
    <w:rsid w:val="00C602E3"/>
    <w:rsid w:val="00C67E57"/>
    <w:rsid w:val="00C865AF"/>
    <w:rsid w:val="00C8705D"/>
    <w:rsid w:val="00C91BB6"/>
    <w:rsid w:val="00CB24EE"/>
    <w:rsid w:val="00CB3BC6"/>
    <w:rsid w:val="00CC6C43"/>
    <w:rsid w:val="00CF52FB"/>
    <w:rsid w:val="00CF7445"/>
    <w:rsid w:val="00D02789"/>
    <w:rsid w:val="00D152D4"/>
    <w:rsid w:val="00D23D38"/>
    <w:rsid w:val="00D32C27"/>
    <w:rsid w:val="00D34971"/>
    <w:rsid w:val="00D6501C"/>
    <w:rsid w:val="00D676C3"/>
    <w:rsid w:val="00D71F6E"/>
    <w:rsid w:val="00D7764D"/>
    <w:rsid w:val="00DA200D"/>
    <w:rsid w:val="00DC75B8"/>
    <w:rsid w:val="00DD33A4"/>
    <w:rsid w:val="00E13717"/>
    <w:rsid w:val="00E1469E"/>
    <w:rsid w:val="00E272C4"/>
    <w:rsid w:val="00E2766C"/>
    <w:rsid w:val="00E4097B"/>
    <w:rsid w:val="00E467C5"/>
    <w:rsid w:val="00E61DF6"/>
    <w:rsid w:val="00E73628"/>
    <w:rsid w:val="00E7429E"/>
    <w:rsid w:val="00E74687"/>
    <w:rsid w:val="00E75CAD"/>
    <w:rsid w:val="00EB325A"/>
    <w:rsid w:val="00EB402D"/>
    <w:rsid w:val="00EC2236"/>
    <w:rsid w:val="00EC5D15"/>
    <w:rsid w:val="00EE46FD"/>
    <w:rsid w:val="00F12694"/>
    <w:rsid w:val="00F26F43"/>
    <w:rsid w:val="00F36E44"/>
    <w:rsid w:val="00F4082F"/>
    <w:rsid w:val="00F532FE"/>
    <w:rsid w:val="00F66F80"/>
    <w:rsid w:val="00F70990"/>
    <w:rsid w:val="00F80F60"/>
    <w:rsid w:val="00FA455C"/>
    <w:rsid w:val="00FB0226"/>
    <w:rsid w:val="00FC1CC7"/>
    <w:rsid w:val="00FC2243"/>
    <w:rsid w:val="00FC5E41"/>
    <w:rsid w:val="00FF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2A014D7-9D50-425B-89CC-BBBF16BF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HN" w:eastAsia="es-H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spacing w:before="480"/>
      <w:outlineLvl w:val="0"/>
    </w:pPr>
    <w:rPr>
      <w:b/>
      <w:color w:val="345A8A"/>
      <w:sz w:val="32"/>
      <w:szCs w:val="32"/>
    </w:rPr>
  </w:style>
  <w:style w:type="paragraph" w:styleId="Ttulo2">
    <w:name w:val="heading 2"/>
    <w:basedOn w:val="Normal"/>
    <w:next w:val="Normal"/>
    <w:pPr>
      <w:spacing w:before="200"/>
      <w:outlineLvl w:val="1"/>
    </w:pPr>
    <w:rPr>
      <w:b/>
      <w:color w:val="4F81BD"/>
      <w:sz w:val="26"/>
      <w:szCs w:val="26"/>
    </w:rPr>
  </w:style>
  <w:style w:type="paragraph" w:styleId="Ttulo3">
    <w:name w:val="heading 3"/>
    <w:basedOn w:val="Normal"/>
    <w:next w:val="Normal"/>
    <w:pPr>
      <w:spacing w:before="200"/>
      <w:outlineLvl w:val="2"/>
    </w:pPr>
    <w:rPr>
      <w:b/>
      <w:color w:val="4F81BD"/>
      <w:sz w:val="24"/>
      <w:szCs w:val="24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spacing w:after="300"/>
    </w:pPr>
    <w:rPr>
      <w:color w:val="17365D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rPr>
      <w:i/>
      <w:color w:val="4F81BD"/>
      <w:sz w:val="24"/>
      <w:szCs w:val="24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5">
    <w:name w:val="Light Shading Accent 5"/>
    <w:basedOn w:val="Tablanormal"/>
    <w:uiPriority w:val="60"/>
    <w:rsid w:val="00F700C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BC21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2167"/>
  </w:style>
  <w:style w:type="paragraph" w:styleId="Piedepgina">
    <w:name w:val="footer"/>
    <w:basedOn w:val="Normal"/>
    <w:link w:val="PiedepginaCar"/>
    <w:uiPriority w:val="99"/>
    <w:unhideWhenUsed/>
    <w:rsid w:val="00BC21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2167"/>
  </w:style>
  <w:style w:type="table" w:customStyle="1" w:styleId="a0">
    <w:basedOn w:val="TableNormal0"/>
    <w:pPr>
      <w:spacing w:after="0" w:line="240" w:lineRule="auto"/>
    </w:pPr>
    <w:rPr>
      <w:color w:val="31849B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/>
      </w:tcPr>
    </w:tblStylePr>
  </w:style>
  <w:style w:type="paragraph" w:styleId="NormalWeb">
    <w:name w:val="Normal (Web)"/>
    <w:basedOn w:val="Normal"/>
    <w:uiPriority w:val="99"/>
    <w:semiHidden/>
    <w:unhideWhenUsed/>
    <w:rsid w:val="00E74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B91EE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363B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135E3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35E3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35E3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35E3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35E3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5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E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8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xgCrkhcIfNjaSRuz3/w/EH3u3Q==">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1532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Olivera</dc:creator>
  <cp:lastModifiedBy>Lesly Waldina Palma Avila</cp:lastModifiedBy>
  <cp:revision>4</cp:revision>
  <cp:lastPrinted>2023-03-07T13:57:00Z</cp:lastPrinted>
  <dcterms:created xsi:type="dcterms:W3CDTF">2023-03-11T04:07:00Z</dcterms:created>
  <dcterms:modified xsi:type="dcterms:W3CDTF">2023-03-11T04:07:00Z</dcterms:modified>
</cp:coreProperties>
</file>